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685E" w:rsidRPr="00757D84" w:rsidRDefault="00757D84" w:rsidP="00C05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57D84">
        <w:rPr>
          <w:rFonts w:ascii="Arial" w:hAnsi="Arial" w:cs="Arial"/>
          <w:b/>
          <w:color w:val="010000"/>
          <w:sz w:val="20"/>
        </w:rPr>
        <w:t>VCT: Board Decision</w:t>
      </w:r>
    </w:p>
    <w:p w14:paraId="00000002" w14:textId="7BB33BBA" w:rsidR="0092685E" w:rsidRPr="00757D84" w:rsidRDefault="00757D84" w:rsidP="00C05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 xml:space="preserve">On March 4, 2024, </w:t>
      </w:r>
      <w:proofErr w:type="spellStart"/>
      <w:r w:rsidRPr="00757D84">
        <w:rPr>
          <w:rFonts w:ascii="Arial" w:hAnsi="Arial" w:cs="Arial"/>
          <w:color w:val="010000"/>
          <w:sz w:val="20"/>
        </w:rPr>
        <w:t>Vinaconex's</w:t>
      </w:r>
      <w:proofErr w:type="spellEnd"/>
      <w:r w:rsidRPr="00757D84">
        <w:rPr>
          <w:rFonts w:ascii="Arial" w:hAnsi="Arial" w:cs="Arial"/>
          <w:color w:val="010000"/>
          <w:sz w:val="20"/>
        </w:rPr>
        <w:t xml:space="preserve"> Construct Consultant JSC announced Decision No. 21/2024/QD-HDQT on the record date to make a list of shareholders and the time of holding </w:t>
      </w:r>
      <w:r w:rsidR="007942B3" w:rsidRPr="00757D84">
        <w:rPr>
          <w:rFonts w:ascii="Arial" w:hAnsi="Arial" w:cs="Arial"/>
          <w:color w:val="010000"/>
          <w:sz w:val="20"/>
        </w:rPr>
        <w:t xml:space="preserve">the </w:t>
      </w:r>
      <w:r w:rsidRPr="00757D84">
        <w:rPr>
          <w:rFonts w:ascii="Arial" w:hAnsi="Arial" w:cs="Arial"/>
          <w:color w:val="010000"/>
          <w:sz w:val="20"/>
        </w:rPr>
        <w:t xml:space="preserve">Annual </w:t>
      </w:r>
      <w:r w:rsidR="00C05414">
        <w:rPr>
          <w:rFonts w:ascii="Arial" w:hAnsi="Arial" w:cs="Arial"/>
          <w:color w:val="010000"/>
          <w:sz w:val="20"/>
        </w:rPr>
        <w:t>General Meeting</w:t>
      </w:r>
      <w:r w:rsidRPr="00757D84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="007942B3" w:rsidRPr="00757D84">
        <w:rPr>
          <w:rFonts w:ascii="Arial" w:hAnsi="Arial" w:cs="Arial"/>
          <w:color w:val="010000"/>
          <w:sz w:val="20"/>
        </w:rPr>
        <w:t>Vinaconex's</w:t>
      </w:r>
      <w:proofErr w:type="spellEnd"/>
      <w:r w:rsidR="007942B3" w:rsidRPr="00757D84">
        <w:rPr>
          <w:rFonts w:ascii="Arial" w:hAnsi="Arial" w:cs="Arial"/>
          <w:color w:val="010000"/>
          <w:sz w:val="20"/>
        </w:rPr>
        <w:t xml:space="preserve"> Construct Consultant JSC (</w:t>
      </w:r>
      <w:proofErr w:type="spellStart"/>
      <w:r w:rsidRPr="00757D84">
        <w:rPr>
          <w:rFonts w:ascii="Arial" w:hAnsi="Arial" w:cs="Arial"/>
          <w:color w:val="010000"/>
          <w:sz w:val="20"/>
        </w:rPr>
        <w:t>Vinaconsult</w:t>
      </w:r>
      <w:proofErr w:type="spellEnd"/>
      <w:r w:rsidR="007942B3" w:rsidRPr="00757D84">
        <w:rPr>
          <w:rFonts w:ascii="Arial" w:hAnsi="Arial" w:cs="Arial"/>
          <w:color w:val="010000"/>
          <w:sz w:val="20"/>
        </w:rPr>
        <w:t>)</w:t>
      </w:r>
      <w:r w:rsidRPr="00757D84">
        <w:rPr>
          <w:rFonts w:ascii="Arial" w:hAnsi="Arial" w:cs="Arial"/>
          <w:color w:val="010000"/>
          <w:sz w:val="20"/>
        </w:rPr>
        <w:t xml:space="preserve"> as follows: </w:t>
      </w:r>
    </w:p>
    <w:p w14:paraId="00000003" w14:textId="0206CC70" w:rsidR="0092685E" w:rsidRPr="00757D84" w:rsidRDefault="00757D84" w:rsidP="00C05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 xml:space="preserve">Article 1: Approve the organization plan of the Annual </w:t>
      </w:r>
      <w:r w:rsidR="00C05414">
        <w:rPr>
          <w:rFonts w:ascii="Arial" w:hAnsi="Arial" w:cs="Arial"/>
          <w:color w:val="010000"/>
          <w:sz w:val="20"/>
        </w:rPr>
        <w:t>General Meeting</w:t>
      </w:r>
      <w:r w:rsidRPr="00757D84">
        <w:rPr>
          <w:rFonts w:ascii="Arial" w:hAnsi="Arial" w:cs="Arial"/>
          <w:color w:val="010000"/>
          <w:sz w:val="20"/>
        </w:rPr>
        <w:t xml:space="preserve"> 2024 of </w:t>
      </w:r>
      <w:proofErr w:type="spellStart"/>
      <w:r w:rsidRPr="00757D84">
        <w:rPr>
          <w:rFonts w:ascii="Arial" w:hAnsi="Arial" w:cs="Arial"/>
          <w:color w:val="010000"/>
          <w:sz w:val="20"/>
        </w:rPr>
        <w:t>Vinaconex's</w:t>
      </w:r>
      <w:proofErr w:type="spellEnd"/>
      <w:r w:rsidRPr="00757D84">
        <w:rPr>
          <w:rFonts w:ascii="Arial" w:hAnsi="Arial" w:cs="Arial"/>
          <w:color w:val="010000"/>
          <w:sz w:val="20"/>
        </w:rPr>
        <w:t xml:space="preserve"> Construct Consultant JSC as follows:</w:t>
      </w:r>
    </w:p>
    <w:p w14:paraId="00000004" w14:textId="3CC0D728" w:rsidR="0092685E" w:rsidRPr="00757D84" w:rsidRDefault="00C05414" w:rsidP="00C05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 of</w:t>
      </w:r>
      <w:r w:rsidR="00757D84" w:rsidRPr="00757D84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</w:t>
      </w:r>
      <w:r w:rsidR="00757D84" w:rsidRPr="00757D84">
        <w:rPr>
          <w:rFonts w:ascii="Arial" w:hAnsi="Arial" w:cs="Arial"/>
          <w:color w:val="010000"/>
          <w:sz w:val="20"/>
        </w:rPr>
        <w:t xml:space="preserve"> 2024: 8:30 a.m. April 25, 2024 (Thursday).</w:t>
      </w:r>
    </w:p>
    <w:p w14:paraId="00000005" w14:textId="38BB6CF2" w:rsidR="0092685E" w:rsidRPr="00757D84" w:rsidRDefault="00757D84" w:rsidP="00C05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>Expected meeting venue: Company office, 6th floor, 25T2-N05</w:t>
      </w:r>
      <w:r w:rsidR="007942B3" w:rsidRPr="00757D84">
        <w:rPr>
          <w:rFonts w:ascii="Arial" w:hAnsi="Arial" w:cs="Arial"/>
          <w:color w:val="010000"/>
          <w:sz w:val="20"/>
        </w:rPr>
        <w:t xml:space="preserve"> </w:t>
      </w:r>
      <w:r w:rsidRPr="00757D84">
        <w:rPr>
          <w:rFonts w:ascii="Arial" w:hAnsi="Arial" w:cs="Arial"/>
          <w:color w:val="010000"/>
          <w:sz w:val="20"/>
        </w:rPr>
        <w:t xml:space="preserve">Building, </w:t>
      </w:r>
      <w:proofErr w:type="spellStart"/>
      <w:r w:rsidRPr="00757D84">
        <w:rPr>
          <w:rFonts w:ascii="Arial" w:hAnsi="Arial" w:cs="Arial"/>
          <w:color w:val="010000"/>
          <w:sz w:val="20"/>
        </w:rPr>
        <w:t>Trung</w:t>
      </w:r>
      <w:proofErr w:type="spellEnd"/>
      <w:r w:rsidRPr="00757D8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57D84">
        <w:rPr>
          <w:rFonts w:ascii="Arial" w:hAnsi="Arial" w:cs="Arial"/>
          <w:color w:val="010000"/>
          <w:sz w:val="20"/>
        </w:rPr>
        <w:t>Hoa</w:t>
      </w:r>
      <w:proofErr w:type="spellEnd"/>
      <w:r w:rsidRPr="00757D8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57D84">
        <w:rPr>
          <w:rFonts w:ascii="Arial" w:hAnsi="Arial" w:cs="Arial"/>
          <w:color w:val="010000"/>
          <w:sz w:val="20"/>
        </w:rPr>
        <w:t>Nhan</w:t>
      </w:r>
      <w:proofErr w:type="spellEnd"/>
      <w:r w:rsidRPr="00757D84">
        <w:rPr>
          <w:rFonts w:ascii="Arial" w:hAnsi="Arial" w:cs="Arial"/>
          <w:color w:val="010000"/>
          <w:sz w:val="20"/>
        </w:rPr>
        <w:t xml:space="preserve"> Chinh Urban Area, Nguyen Thi </w:t>
      </w:r>
      <w:proofErr w:type="spellStart"/>
      <w:r w:rsidRPr="00757D84">
        <w:rPr>
          <w:rFonts w:ascii="Arial" w:hAnsi="Arial" w:cs="Arial"/>
          <w:color w:val="010000"/>
          <w:sz w:val="20"/>
        </w:rPr>
        <w:t>Thap</w:t>
      </w:r>
      <w:proofErr w:type="spellEnd"/>
      <w:r w:rsidRPr="00757D84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757D84">
        <w:rPr>
          <w:rFonts w:ascii="Arial" w:hAnsi="Arial" w:cs="Arial"/>
          <w:color w:val="010000"/>
          <w:sz w:val="20"/>
        </w:rPr>
        <w:t>Trung</w:t>
      </w:r>
      <w:proofErr w:type="spellEnd"/>
      <w:r w:rsidRPr="00757D8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57D84">
        <w:rPr>
          <w:rFonts w:ascii="Arial" w:hAnsi="Arial" w:cs="Arial"/>
          <w:color w:val="010000"/>
          <w:sz w:val="20"/>
        </w:rPr>
        <w:t>Hoa</w:t>
      </w:r>
      <w:proofErr w:type="spellEnd"/>
      <w:r w:rsidRPr="00757D84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757D84">
        <w:rPr>
          <w:rFonts w:ascii="Arial" w:hAnsi="Arial" w:cs="Arial"/>
          <w:color w:val="010000"/>
          <w:sz w:val="20"/>
        </w:rPr>
        <w:t>Cau</w:t>
      </w:r>
      <w:proofErr w:type="spellEnd"/>
      <w:r w:rsidRPr="00757D8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57D84">
        <w:rPr>
          <w:rFonts w:ascii="Arial" w:hAnsi="Arial" w:cs="Arial"/>
          <w:color w:val="010000"/>
          <w:sz w:val="20"/>
        </w:rPr>
        <w:t>Giay</w:t>
      </w:r>
      <w:proofErr w:type="spellEnd"/>
      <w:r w:rsidRPr="00757D84">
        <w:rPr>
          <w:rFonts w:ascii="Arial" w:hAnsi="Arial" w:cs="Arial"/>
          <w:color w:val="010000"/>
          <w:sz w:val="20"/>
        </w:rPr>
        <w:t xml:space="preserve"> District, Hanoi.</w:t>
      </w:r>
    </w:p>
    <w:p w14:paraId="00000006" w14:textId="65CDF290" w:rsidR="0092685E" w:rsidRPr="00757D84" w:rsidRDefault="00757D84" w:rsidP="00C05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>Date of sending meeting invitation letter: No later than April 3, 2024 (at least 21 days before the meeting).</w:t>
      </w:r>
    </w:p>
    <w:p w14:paraId="00000007" w14:textId="4FDF9DEC" w:rsidR="0092685E" w:rsidRPr="00757D84" w:rsidRDefault="00757D84" w:rsidP="00C05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>Record date for the list of shareholders attending the Meeting: March 25, 2024</w:t>
      </w:r>
    </w:p>
    <w:p w14:paraId="00000008" w14:textId="77777777" w:rsidR="0092685E" w:rsidRPr="00757D84" w:rsidRDefault="00757D84" w:rsidP="00C05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>Date of disclosing information on making the list of shareholders having the rights to attend the meeting: March 05, 2024</w:t>
      </w:r>
    </w:p>
    <w:p w14:paraId="00000009" w14:textId="20FF3CBD" w:rsidR="0092685E" w:rsidRPr="00757D84" w:rsidRDefault="00757D84" w:rsidP="00C05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 xml:space="preserve">Detailed contents of the Annual </w:t>
      </w:r>
      <w:r w:rsidR="00C05414">
        <w:rPr>
          <w:rFonts w:ascii="Arial" w:hAnsi="Arial" w:cs="Arial"/>
          <w:color w:val="010000"/>
          <w:sz w:val="20"/>
        </w:rPr>
        <w:t>General Meeting</w:t>
      </w:r>
      <w:r w:rsidRPr="00757D84">
        <w:rPr>
          <w:rFonts w:ascii="Arial" w:hAnsi="Arial" w:cs="Arial"/>
          <w:color w:val="010000"/>
          <w:sz w:val="20"/>
        </w:rPr>
        <w:t xml:space="preserve"> 2024:</w:t>
      </w:r>
    </w:p>
    <w:p w14:paraId="0000000A" w14:textId="77777777" w:rsidR="0092685E" w:rsidRPr="00757D84" w:rsidRDefault="00757D84" w:rsidP="00C05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>Report of the Executive Board on the production and business results in 2023 and the production and business plan in 2024;</w:t>
      </w:r>
    </w:p>
    <w:p w14:paraId="0000000B" w14:textId="77777777" w:rsidR="0092685E" w:rsidRPr="00757D84" w:rsidRDefault="00757D84" w:rsidP="00C05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>Proposal of the Board of Directors on approving the Audited Financial Statements 2023;</w:t>
      </w:r>
    </w:p>
    <w:p w14:paraId="0000000C" w14:textId="77777777" w:rsidR="0092685E" w:rsidRPr="00757D84" w:rsidRDefault="00757D84" w:rsidP="00C05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>Report of the Board of Directors on the management and operation of production and business activities in 2023 and key tasks in 2024;</w:t>
      </w:r>
    </w:p>
    <w:p w14:paraId="0000000D" w14:textId="2DDF7FBF" w:rsidR="0092685E" w:rsidRPr="00757D84" w:rsidRDefault="00757D84" w:rsidP="00C05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 xml:space="preserve">Report of the Supervisory Board at the </w:t>
      </w:r>
      <w:r w:rsidR="00C05414">
        <w:rPr>
          <w:rFonts w:ascii="Arial" w:hAnsi="Arial" w:cs="Arial"/>
          <w:color w:val="010000"/>
          <w:sz w:val="20"/>
        </w:rPr>
        <w:t>General Meeting</w:t>
      </w:r>
      <w:r w:rsidRPr="00757D84">
        <w:rPr>
          <w:rFonts w:ascii="Arial" w:hAnsi="Arial" w:cs="Arial"/>
          <w:color w:val="010000"/>
          <w:sz w:val="20"/>
        </w:rPr>
        <w:t>;</w:t>
      </w:r>
    </w:p>
    <w:p w14:paraId="0000000E" w14:textId="668B380D" w:rsidR="0092685E" w:rsidRPr="00757D84" w:rsidRDefault="00757D84" w:rsidP="00C05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 xml:space="preserve">Proposal of the Supervisory Board for the </w:t>
      </w:r>
      <w:r w:rsidR="00C05414">
        <w:rPr>
          <w:rFonts w:ascii="Arial" w:hAnsi="Arial" w:cs="Arial"/>
          <w:color w:val="010000"/>
          <w:sz w:val="20"/>
        </w:rPr>
        <w:t>General Meeting</w:t>
      </w:r>
      <w:r w:rsidRPr="00757D84">
        <w:rPr>
          <w:rFonts w:ascii="Arial" w:hAnsi="Arial" w:cs="Arial"/>
          <w:color w:val="010000"/>
          <w:sz w:val="20"/>
        </w:rPr>
        <w:t xml:space="preserve"> to select an independent audit company to audit and review the Company’s Financial Statements 2024;</w:t>
      </w:r>
    </w:p>
    <w:p w14:paraId="0000000F" w14:textId="77777777" w:rsidR="0092685E" w:rsidRPr="00757D84" w:rsidRDefault="00757D84" w:rsidP="00C05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>Proposal of the Board of Directors on the distribution of profit after tax for the fiscal year of 2023;</w:t>
      </w:r>
    </w:p>
    <w:p w14:paraId="00000010" w14:textId="77777777" w:rsidR="0092685E" w:rsidRPr="00757D84" w:rsidRDefault="00757D84" w:rsidP="00C05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>Proposal of the Board of Directors on approving the remuneration settlement plan for the Board of Directors and the Supervisory Board in 2023, and the plan in 2024.</w:t>
      </w:r>
    </w:p>
    <w:p w14:paraId="00000011" w14:textId="77777777" w:rsidR="0092685E" w:rsidRPr="00757D84" w:rsidRDefault="00757D84" w:rsidP="00C05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>Other contents (if any).</w:t>
      </w:r>
    </w:p>
    <w:p w14:paraId="00000012" w14:textId="4E400D2E" w:rsidR="0092685E" w:rsidRPr="00757D84" w:rsidRDefault="00757D84" w:rsidP="00C0541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>Article 2: Organization and implementation</w:t>
      </w:r>
    </w:p>
    <w:p w14:paraId="00000013" w14:textId="201C42D4" w:rsidR="0092685E" w:rsidRPr="00757D84" w:rsidRDefault="00757D84" w:rsidP="00C05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 xml:space="preserve">The </w:t>
      </w:r>
      <w:r w:rsidR="00C05414">
        <w:rPr>
          <w:rFonts w:ascii="Arial" w:hAnsi="Arial" w:cs="Arial"/>
          <w:color w:val="010000"/>
          <w:sz w:val="20"/>
        </w:rPr>
        <w:t>Managing Director</w:t>
      </w:r>
      <w:r w:rsidRPr="00757D84">
        <w:rPr>
          <w:rFonts w:ascii="Arial" w:hAnsi="Arial" w:cs="Arial"/>
          <w:color w:val="010000"/>
          <w:sz w:val="20"/>
        </w:rPr>
        <w:t xml:space="preserve"> directs departments to develop plans based on functions and duties, prepare and hold the Annual </w:t>
      </w:r>
      <w:r w:rsidR="00C05414">
        <w:rPr>
          <w:rFonts w:ascii="Arial" w:hAnsi="Arial" w:cs="Arial"/>
          <w:color w:val="010000"/>
          <w:sz w:val="20"/>
        </w:rPr>
        <w:t>General Meeting</w:t>
      </w:r>
      <w:r w:rsidRPr="00757D84">
        <w:rPr>
          <w:rFonts w:ascii="Arial" w:hAnsi="Arial" w:cs="Arial"/>
          <w:color w:val="010000"/>
          <w:sz w:val="20"/>
        </w:rPr>
        <w:t xml:space="preserve"> 2024 according to the approved contents in Article 1, ensure to comply with </w:t>
      </w:r>
      <w:r w:rsidR="00C05414">
        <w:rPr>
          <w:rFonts w:ascii="Arial" w:hAnsi="Arial" w:cs="Arial"/>
          <w:color w:val="010000"/>
          <w:sz w:val="20"/>
        </w:rPr>
        <w:t>applicable laws</w:t>
      </w:r>
      <w:r w:rsidRPr="00757D84">
        <w:rPr>
          <w:rFonts w:ascii="Arial" w:hAnsi="Arial" w:cs="Arial"/>
          <w:color w:val="010000"/>
          <w:sz w:val="20"/>
        </w:rPr>
        <w:t xml:space="preserve"> and regulations of the Company.</w:t>
      </w:r>
    </w:p>
    <w:p w14:paraId="00000014" w14:textId="77777777" w:rsidR="0092685E" w:rsidRPr="00757D84" w:rsidRDefault="00757D84" w:rsidP="00C0541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>Article 3: Terms of enforcement</w:t>
      </w:r>
    </w:p>
    <w:p w14:paraId="00000015" w14:textId="77777777" w:rsidR="0092685E" w:rsidRPr="00757D84" w:rsidRDefault="00757D84" w:rsidP="00C05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t>This Board Resolution takes effect from the date of signing.</w:t>
      </w:r>
    </w:p>
    <w:p w14:paraId="00000016" w14:textId="5B2D50F4" w:rsidR="0092685E" w:rsidRPr="00757D84" w:rsidRDefault="00757D84" w:rsidP="00C054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7D84">
        <w:rPr>
          <w:rFonts w:ascii="Arial" w:hAnsi="Arial" w:cs="Arial"/>
          <w:color w:val="010000"/>
          <w:sz w:val="20"/>
        </w:rPr>
        <w:lastRenderedPageBreak/>
        <w:t xml:space="preserve">Members of the Board of Directors, </w:t>
      </w:r>
      <w:r w:rsidR="00C05414">
        <w:rPr>
          <w:rFonts w:ascii="Arial" w:hAnsi="Arial" w:cs="Arial"/>
          <w:color w:val="010000"/>
          <w:sz w:val="20"/>
        </w:rPr>
        <w:t>Managing Director,</w:t>
      </w:r>
      <w:r w:rsidRPr="00757D84">
        <w:rPr>
          <w:rFonts w:ascii="Arial" w:hAnsi="Arial" w:cs="Arial"/>
          <w:color w:val="010000"/>
          <w:sz w:val="20"/>
        </w:rPr>
        <w:t xml:space="preserve"> Deputy </w:t>
      </w:r>
      <w:r w:rsidR="00C05414">
        <w:rPr>
          <w:rFonts w:ascii="Arial" w:hAnsi="Arial" w:cs="Arial"/>
          <w:color w:val="010000"/>
          <w:sz w:val="20"/>
        </w:rPr>
        <w:t>Managing Director, Chief Accountant and</w:t>
      </w:r>
      <w:bookmarkStart w:id="0" w:name="_GoBack"/>
      <w:bookmarkEnd w:id="0"/>
      <w:r w:rsidRPr="00757D84">
        <w:rPr>
          <w:rFonts w:ascii="Arial" w:hAnsi="Arial" w:cs="Arial"/>
          <w:color w:val="010000"/>
          <w:sz w:val="20"/>
        </w:rPr>
        <w:t xml:space="preserve"> relevant functional departments are responsible for implementing this Resolution./.</w:t>
      </w:r>
    </w:p>
    <w:sectPr w:rsidR="0092685E" w:rsidRPr="00757D84" w:rsidSect="007942B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1A6"/>
    <w:multiLevelType w:val="multilevel"/>
    <w:tmpl w:val="0864673A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106655"/>
    <w:multiLevelType w:val="multilevel"/>
    <w:tmpl w:val="120CC2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5E"/>
    <w:rsid w:val="00757D84"/>
    <w:rsid w:val="007942B3"/>
    <w:rsid w:val="0092685E"/>
    <w:rsid w:val="00C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E8AD6"/>
  <w15:docId w15:val="{68BCF9A9-3ADD-42D0-B9D6-51892C70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2D2E32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2D2E32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94E5A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94E5A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9" w:lineRule="auto"/>
    </w:pPr>
    <w:rPr>
      <w:rFonts w:ascii="Arial" w:eastAsia="Arial" w:hAnsi="Arial" w:cs="Arial"/>
      <w:color w:val="2D2E32"/>
      <w:sz w:val="13"/>
      <w:szCs w:val="13"/>
    </w:rPr>
  </w:style>
  <w:style w:type="paragraph" w:customStyle="1" w:styleId="Bodytext20">
    <w:name w:val="Body text (2)"/>
    <w:basedOn w:val="Normal"/>
    <w:link w:val="Bodytext2"/>
    <w:pPr>
      <w:spacing w:line="180" w:lineRule="auto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230" w:lineRule="auto"/>
      <w:ind w:firstLine="80"/>
    </w:pPr>
    <w:rPr>
      <w:rFonts w:ascii="Arial" w:eastAsia="Arial" w:hAnsi="Arial" w:cs="Arial"/>
      <w:sz w:val="16"/>
      <w:szCs w:val="16"/>
    </w:rPr>
  </w:style>
  <w:style w:type="paragraph" w:customStyle="1" w:styleId="Heading11">
    <w:name w:val="Heading #1"/>
    <w:basedOn w:val="Normal"/>
    <w:link w:val="Heading10"/>
    <w:pPr>
      <w:ind w:firstLine="280"/>
      <w:jc w:val="center"/>
      <w:outlineLvl w:val="0"/>
    </w:pPr>
    <w:rPr>
      <w:rFonts w:ascii="Arial" w:eastAsia="Arial" w:hAnsi="Arial" w:cs="Arial"/>
      <w:color w:val="2D2E32"/>
      <w:sz w:val="17"/>
      <w:szCs w:val="17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color w:val="E94E5A"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sz w:val="11"/>
      <w:szCs w:val="11"/>
    </w:rPr>
  </w:style>
  <w:style w:type="paragraph" w:customStyle="1" w:styleId="Heading31">
    <w:name w:val="Heading #3"/>
    <w:basedOn w:val="Normal"/>
    <w:link w:val="Heading30"/>
    <w:pPr>
      <w:spacing w:line="312" w:lineRule="auto"/>
      <w:ind w:firstLine="420"/>
      <w:outlineLvl w:val="2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21">
    <w:name w:val="Heading #2"/>
    <w:basedOn w:val="Normal"/>
    <w:link w:val="Heading20"/>
    <w:pPr>
      <w:spacing w:line="228" w:lineRule="auto"/>
      <w:jc w:val="right"/>
      <w:outlineLvl w:val="1"/>
    </w:pPr>
    <w:rPr>
      <w:rFonts w:ascii="Calibri" w:eastAsia="Calibri" w:hAnsi="Calibri" w:cs="Calibri"/>
      <w:color w:val="E94E5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BHHY+NVCqd2eKjwEWclcB+x/aw==">CgMxLjA4AHIhMVJ5NHBqU25UQzh4S3pPVGVpeExHdEJpNGd6RlY5b2NT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2024-03-07T04:33:00Z</dcterms:created>
  <dcterms:modified xsi:type="dcterms:W3CDTF">2024-03-07T04:33:00Z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82d73b2876edbcae36334358d3b95cac293cd74a7f2139a50c7c0af8bcba0c1f</vt:lpwstr>
  </property>
</Properties>
</file>