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3B" w:rsidRPr="002D179D" w:rsidRDefault="007C5BE2" w:rsidP="007C5BE2">
      <w:pPr>
        <w:pBdr>
          <w:top w:val="nil"/>
          <w:left w:val="nil"/>
          <w:bottom w:val="nil"/>
          <w:right w:val="nil"/>
          <w:between w:val="nil"/>
        </w:pBdr>
        <w:spacing w:after="120" w:line="360" w:lineRule="auto"/>
        <w:jc w:val="both"/>
        <w:rPr>
          <w:rFonts w:ascii="Arial" w:hAnsi="Arial" w:cs="Arial"/>
          <w:b/>
          <w:sz w:val="20"/>
          <w:szCs w:val="20"/>
          <w:lang w:val="vi-VN"/>
        </w:rPr>
      </w:pPr>
      <w:r w:rsidRPr="002D179D">
        <w:rPr>
          <w:rFonts w:ascii="Arial" w:hAnsi="Arial" w:cs="Arial"/>
          <w:b/>
          <w:sz w:val="20"/>
          <w:szCs w:val="20"/>
        </w:rPr>
        <w:t>X</w:t>
      </w:r>
      <w:r w:rsidRPr="002D179D">
        <w:rPr>
          <w:rFonts w:ascii="Arial" w:hAnsi="Arial" w:cs="Arial"/>
          <w:b/>
          <w:color w:val="000000"/>
          <w:sz w:val="20"/>
          <w:szCs w:val="20"/>
        </w:rPr>
        <w:t xml:space="preserve">MD: </w:t>
      </w:r>
      <w:r w:rsidRPr="002D179D">
        <w:rPr>
          <w:rFonts w:ascii="Arial" w:hAnsi="Arial" w:cs="Arial"/>
          <w:b/>
          <w:sz w:val="20"/>
          <w:szCs w:val="20"/>
        </w:rPr>
        <w:t>Board Resolution</w:t>
      </w:r>
    </w:p>
    <w:p w:rsidR="00C00B3B" w:rsidRPr="002D179D" w:rsidRDefault="007C5BE2" w:rsidP="007C5BE2">
      <w:pPr>
        <w:pBdr>
          <w:top w:val="nil"/>
          <w:left w:val="nil"/>
          <w:bottom w:val="nil"/>
          <w:right w:val="nil"/>
          <w:between w:val="nil"/>
        </w:pBdr>
        <w:spacing w:after="120" w:line="360" w:lineRule="auto"/>
        <w:jc w:val="both"/>
        <w:rPr>
          <w:rFonts w:ascii="Arial" w:eastAsia="Arial" w:hAnsi="Arial" w:cs="Arial"/>
          <w:color w:val="000000"/>
          <w:sz w:val="20"/>
          <w:szCs w:val="20"/>
        </w:rPr>
      </w:pPr>
      <w:r w:rsidRPr="002D179D">
        <w:rPr>
          <w:rFonts w:ascii="Arial" w:hAnsi="Arial" w:cs="Arial"/>
          <w:color w:val="000000"/>
          <w:sz w:val="20"/>
          <w:szCs w:val="20"/>
        </w:rPr>
        <w:t xml:space="preserve">On </w:t>
      </w:r>
      <w:r w:rsidR="002D179D">
        <w:rPr>
          <w:rFonts w:ascii="Arial" w:hAnsi="Arial" w:cs="Arial"/>
          <w:color w:val="000000"/>
          <w:sz w:val="20"/>
          <w:szCs w:val="20"/>
        </w:rPr>
        <w:t>March 05</w:t>
      </w:r>
      <w:r w:rsidRPr="002D179D">
        <w:rPr>
          <w:rFonts w:ascii="Arial" w:hAnsi="Arial" w:cs="Arial"/>
          <w:color w:val="000000"/>
          <w:sz w:val="20"/>
          <w:szCs w:val="20"/>
        </w:rPr>
        <w:t xml:space="preserve">, </w:t>
      </w:r>
      <w:r w:rsidR="002D179D">
        <w:rPr>
          <w:rFonts w:ascii="Arial" w:hAnsi="Arial" w:cs="Arial"/>
          <w:color w:val="000000"/>
          <w:sz w:val="20"/>
          <w:szCs w:val="20"/>
        </w:rPr>
        <w:t xml:space="preserve">2024, </w:t>
      </w:r>
      <w:r w:rsidRPr="002D179D">
        <w:rPr>
          <w:rFonts w:ascii="Arial" w:hAnsi="Arial" w:cs="Arial"/>
          <w:color w:val="000000"/>
          <w:sz w:val="20"/>
          <w:szCs w:val="20"/>
        </w:rPr>
        <w:t xml:space="preserve">Xuan Mai - Dao Tu JSC </w:t>
      </w:r>
      <w:r w:rsidR="002D179D">
        <w:rPr>
          <w:rFonts w:ascii="Arial" w:hAnsi="Arial" w:cs="Arial"/>
          <w:color w:val="000000"/>
          <w:sz w:val="20"/>
          <w:szCs w:val="20"/>
        </w:rPr>
        <w:t>announced Resolution No. 01/2024</w:t>
      </w:r>
      <w:r w:rsidRPr="002D179D">
        <w:rPr>
          <w:rFonts w:ascii="Arial" w:hAnsi="Arial" w:cs="Arial"/>
          <w:color w:val="000000"/>
          <w:sz w:val="20"/>
          <w:szCs w:val="20"/>
        </w:rPr>
        <w:t>/NQ/XMC-HDQT as follows:</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xml:space="preserve">Article 1. Approval of the production and business plan </w:t>
      </w:r>
      <w:r w:rsidR="002D179D">
        <w:rPr>
          <w:rFonts w:ascii="Arial" w:eastAsia="Arial" w:hAnsi="Arial" w:cs="Arial"/>
          <w:sz w:val="20"/>
          <w:szCs w:val="20"/>
        </w:rPr>
        <w:t xml:space="preserve">for 2024 </w:t>
      </w:r>
      <w:r w:rsidRPr="002D179D">
        <w:rPr>
          <w:rFonts w:ascii="Arial" w:eastAsia="Arial" w:hAnsi="Arial" w:cs="Arial"/>
          <w:sz w:val="20"/>
          <w:szCs w:val="20"/>
        </w:rPr>
        <w:t>with main targets:</w:t>
      </w:r>
    </w:p>
    <w:tbl>
      <w:tblPr>
        <w:tblOverlap w:val="never"/>
        <w:tblW w:w="5000" w:type="pct"/>
        <w:tblCellMar>
          <w:left w:w="10" w:type="dxa"/>
          <w:right w:w="10" w:type="dxa"/>
        </w:tblCellMar>
        <w:tblLook w:val="0000" w:firstRow="0" w:lastRow="0" w:firstColumn="0" w:lastColumn="0" w:noHBand="0" w:noVBand="0"/>
      </w:tblPr>
      <w:tblGrid>
        <w:gridCol w:w="4643"/>
        <w:gridCol w:w="1671"/>
        <w:gridCol w:w="2726"/>
      </w:tblGrid>
      <w:tr w:rsidR="002D179D" w:rsidRPr="002D179D" w:rsidTr="002D179D">
        <w:tblPrEx>
          <w:tblCellMar>
            <w:top w:w="0" w:type="dxa"/>
            <w:bottom w:w="0" w:type="dxa"/>
          </w:tblCellMar>
        </w:tblPrEx>
        <w:trPr>
          <w:trHeight w:hRule="exact" w:val="422"/>
          <w:tblHeader/>
        </w:trPr>
        <w:tc>
          <w:tcPr>
            <w:tcW w:w="2568" w:type="pct"/>
            <w:tcBorders>
              <w:top w:val="single" w:sz="4" w:space="0" w:color="auto"/>
              <w:left w:val="single" w:sz="4" w:space="0" w:color="auto"/>
            </w:tcBorders>
            <w:shd w:val="clear" w:color="auto" w:fill="FFFFFF"/>
            <w:vAlign w:val="bottom"/>
          </w:tcPr>
          <w:p w:rsidR="002D179D" w:rsidRPr="002D179D" w:rsidRDefault="002D179D" w:rsidP="003B5691">
            <w:pPr>
              <w:pStyle w:val="Khc0"/>
              <w:spacing w:line="240" w:lineRule="auto"/>
              <w:ind w:firstLine="0"/>
              <w:jc w:val="center"/>
              <w:rPr>
                <w:rFonts w:ascii="Arial" w:hAnsi="Arial" w:cs="Arial"/>
                <w:color w:val="auto"/>
                <w:sz w:val="20"/>
                <w:szCs w:val="20"/>
              </w:rPr>
            </w:pPr>
            <w:r w:rsidRPr="002D179D">
              <w:rPr>
                <w:rFonts w:ascii="Arial" w:hAnsi="Arial" w:cs="Arial"/>
                <w:b/>
                <w:bCs/>
                <w:color w:val="auto"/>
                <w:sz w:val="20"/>
                <w:szCs w:val="20"/>
              </w:rPr>
              <w:t>Main targets</w:t>
            </w:r>
          </w:p>
        </w:tc>
        <w:tc>
          <w:tcPr>
            <w:tcW w:w="924" w:type="pct"/>
            <w:tcBorders>
              <w:top w:val="single" w:sz="4" w:space="0" w:color="auto"/>
              <w:left w:val="single" w:sz="4" w:space="0" w:color="auto"/>
            </w:tcBorders>
            <w:shd w:val="clear" w:color="auto" w:fill="FFFFFF"/>
            <w:vAlign w:val="bottom"/>
          </w:tcPr>
          <w:p w:rsidR="002D179D" w:rsidRPr="002D179D" w:rsidRDefault="002D179D" w:rsidP="003B5691">
            <w:pPr>
              <w:pStyle w:val="Khc0"/>
              <w:spacing w:line="240" w:lineRule="auto"/>
              <w:ind w:firstLine="0"/>
              <w:jc w:val="center"/>
              <w:rPr>
                <w:rFonts w:ascii="Arial" w:hAnsi="Arial" w:cs="Arial"/>
                <w:color w:val="auto"/>
                <w:sz w:val="20"/>
                <w:szCs w:val="20"/>
              </w:rPr>
            </w:pPr>
            <w:r w:rsidRPr="002D179D">
              <w:rPr>
                <w:rFonts w:ascii="Arial" w:hAnsi="Arial" w:cs="Arial"/>
                <w:b/>
                <w:bCs/>
                <w:color w:val="auto"/>
                <w:sz w:val="20"/>
                <w:szCs w:val="20"/>
              </w:rPr>
              <w:t>Unit</w:t>
            </w:r>
          </w:p>
        </w:tc>
        <w:tc>
          <w:tcPr>
            <w:tcW w:w="1509" w:type="pct"/>
            <w:tcBorders>
              <w:top w:val="single" w:sz="4" w:space="0" w:color="auto"/>
              <w:left w:val="single" w:sz="4" w:space="0" w:color="auto"/>
              <w:right w:val="single" w:sz="4" w:space="0" w:color="auto"/>
            </w:tcBorders>
            <w:shd w:val="clear" w:color="auto" w:fill="FFFFFF"/>
            <w:vAlign w:val="bottom"/>
          </w:tcPr>
          <w:p w:rsidR="002D179D" w:rsidRPr="002D179D" w:rsidRDefault="002D179D" w:rsidP="003B5691">
            <w:pPr>
              <w:pStyle w:val="Khc0"/>
              <w:spacing w:line="240" w:lineRule="auto"/>
              <w:ind w:firstLine="0"/>
              <w:jc w:val="center"/>
              <w:rPr>
                <w:rFonts w:ascii="Arial" w:hAnsi="Arial" w:cs="Arial"/>
                <w:color w:val="auto"/>
                <w:sz w:val="20"/>
                <w:szCs w:val="20"/>
              </w:rPr>
            </w:pPr>
            <w:r w:rsidRPr="002D179D">
              <w:rPr>
                <w:rFonts w:ascii="Arial" w:hAnsi="Arial" w:cs="Arial"/>
                <w:b/>
                <w:bCs/>
                <w:color w:val="auto"/>
                <w:sz w:val="20"/>
                <w:szCs w:val="20"/>
              </w:rPr>
              <w:t>Plan for 2024</w:t>
            </w:r>
          </w:p>
        </w:tc>
      </w:tr>
      <w:tr w:rsidR="002D179D" w:rsidRPr="002D179D" w:rsidTr="002D179D">
        <w:tblPrEx>
          <w:tblCellMar>
            <w:top w:w="0" w:type="dxa"/>
            <w:bottom w:w="0" w:type="dxa"/>
          </w:tblCellMar>
        </w:tblPrEx>
        <w:trPr>
          <w:trHeight w:hRule="exact" w:val="408"/>
        </w:trPr>
        <w:tc>
          <w:tcPr>
            <w:tcW w:w="2568" w:type="pct"/>
            <w:tcBorders>
              <w:top w:val="single" w:sz="4" w:space="0" w:color="auto"/>
              <w:left w:val="single" w:sz="4" w:space="0" w:color="auto"/>
            </w:tcBorders>
            <w:shd w:val="clear" w:color="auto" w:fill="FFFFFF"/>
          </w:tcPr>
          <w:p w:rsidR="002D179D" w:rsidRPr="002D179D" w:rsidRDefault="002D179D" w:rsidP="002D179D">
            <w:pPr>
              <w:rPr>
                <w:rFonts w:ascii="Arial" w:hAnsi="Arial" w:cs="Arial"/>
                <w:sz w:val="20"/>
                <w:szCs w:val="20"/>
              </w:rPr>
            </w:pPr>
            <w:r w:rsidRPr="002D179D">
              <w:rPr>
                <w:rFonts w:ascii="Arial" w:hAnsi="Arial" w:cs="Arial"/>
                <w:sz w:val="20"/>
                <w:szCs w:val="20"/>
              </w:rPr>
              <w:t>Total production and business value</w:t>
            </w:r>
          </w:p>
        </w:tc>
        <w:tc>
          <w:tcPr>
            <w:tcW w:w="924" w:type="pct"/>
            <w:tcBorders>
              <w:top w:val="single" w:sz="4" w:space="0" w:color="auto"/>
              <w:left w:val="single" w:sz="4" w:space="0" w:color="auto"/>
            </w:tcBorders>
            <w:shd w:val="clear" w:color="auto" w:fill="FFFFFF"/>
            <w:vAlign w:val="center"/>
          </w:tcPr>
          <w:p w:rsidR="002D179D" w:rsidRPr="002D179D" w:rsidRDefault="002D179D" w:rsidP="002D179D">
            <w:pPr>
              <w:pStyle w:val="Khc0"/>
              <w:spacing w:line="240" w:lineRule="auto"/>
              <w:ind w:firstLine="180"/>
              <w:rPr>
                <w:rFonts w:ascii="Arial" w:hAnsi="Arial" w:cs="Arial"/>
                <w:color w:val="auto"/>
                <w:sz w:val="20"/>
                <w:szCs w:val="20"/>
              </w:rPr>
            </w:pPr>
            <w:r>
              <w:rPr>
                <w:rFonts w:ascii="Arial" w:hAnsi="Arial" w:cs="Arial"/>
                <w:color w:val="auto"/>
                <w:sz w:val="20"/>
                <w:szCs w:val="20"/>
              </w:rPr>
              <w:t xml:space="preserve">  </w:t>
            </w:r>
            <w:r w:rsidRPr="002D179D">
              <w:rPr>
                <w:rFonts w:ascii="Arial" w:hAnsi="Arial" w:cs="Arial"/>
                <w:color w:val="auto"/>
                <w:sz w:val="20"/>
                <w:szCs w:val="20"/>
              </w:rPr>
              <w:t>Millio</w:t>
            </w:r>
            <w:bookmarkStart w:id="0" w:name="_GoBack"/>
            <w:bookmarkEnd w:id="0"/>
            <w:r w:rsidRPr="002D179D">
              <w:rPr>
                <w:rFonts w:ascii="Arial" w:hAnsi="Arial" w:cs="Arial"/>
                <w:color w:val="auto"/>
                <w:sz w:val="20"/>
                <w:szCs w:val="20"/>
              </w:rPr>
              <w:t>n VND</w:t>
            </w:r>
          </w:p>
        </w:tc>
        <w:tc>
          <w:tcPr>
            <w:tcW w:w="1509" w:type="pct"/>
            <w:tcBorders>
              <w:top w:val="single" w:sz="4" w:space="0" w:color="auto"/>
              <w:left w:val="single" w:sz="4" w:space="0" w:color="auto"/>
              <w:right w:val="single" w:sz="4" w:space="0" w:color="auto"/>
            </w:tcBorders>
            <w:shd w:val="clear" w:color="auto" w:fill="FFFFFF"/>
          </w:tcPr>
          <w:p w:rsidR="002D179D" w:rsidRPr="002D179D" w:rsidRDefault="002D179D" w:rsidP="002D179D">
            <w:pPr>
              <w:pStyle w:val="Khc0"/>
              <w:spacing w:line="240" w:lineRule="auto"/>
              <w:ind w:left="1420" w:firstLine="0"/>
              <w:rPr>
                <w:rFonts w:ascii="Arial" w:hAnsi="Arial" w:cs="Arial"/>
                <w:color w:val="auto"/>
                <w:sz w:val="20"/>
                <w:szCs w:val="20"/>
              </w:rPr>
            </w:pPr>
            <w:r>
              <w:rPr>
                <w:rFonts w:ascii="Arial" w:hAnsi="Arial" w:cs="Arial"/>
                <w:color w:val="auto"/>
                <w:sz w:val="20"/>
                <w:szCs w:val="20"/>
              </w:rPr>
              <w:t>160,</w:t>
            </w:r>
            <w:r w:rsidRPr="002D179D">
              <w:rPr>
                <w:rFonts w:ascii="Arial" w:hAnsi="Arial" w:cs="Arial"/>
                <w:color w:val="auto"/>
                <w:sz w:val="20"/>
                <w:szCs w:val="20"/>
              </w:rPr>
              <w:t>000</w:t>
            </w:r>
          </w:p>
        </w:tc>
      </w:tr>
      <w:tr w:rsidR="002D179D" w:rsidRPr="002D179D" w:rsidTr="002D179D">
        <w:tblPrEx>
          <w:tblCellMar>
            <w:top w:w="0" w:type="dxa"/>
            <w:bottom w:w="0" w:type="dxa"/>
          </w:tblCellMar>
        </w:tblPrEx>
        <w:trPr>
          <w:trHeight w:hRule="exact" w:val="432"/>
        </w:trPr>
        <w:tc>
          <w:tcPr>
            <w:tcW w:w="2568" w:type="pct"/>
            <w:tcBorders>
              <w:top w:val="single" w:sz="4" w:space="0" w:color="auto"/>
              <w:left w:val="single" w:sz="4" w:space="0" w:color="auto"/>
            </w:tcBorders>
            <w:shd w:val="clear" w:color="auto" w:fill="FFFFFF"/>
          </w:tcPr>
          <w:p w:rsidR="002D179D" w:rsidRPr="002D179D" w:rsidRDefault="002D179D" w:rsidP="002D179D">
            <w:pPr>
              <w:rPr>
                <w:rFonts w:ascii="Arial" w:hAnsi="Arial" w:cs="Arial"/>
                <w:sz w:val="20"/>
                <w:szCs w:val="20"/>
              </w:rPr>
            </w:pPr>
            <w:r w:rsidRPr="002D179D">
              <w:rPr>
                <w:rFonts w:ascii="Arial" w:hAnsi="Arial" w:cs="Arial"/>
                <w:sz w:val="20"/>
                <w:szCs w:val="20"/>
              </w:rPr>
              <w:t>Total revenue</w:t>
            </w:r>
          </w:p>
        </w:tc>
        <w:tc>
          <w:tcPr>
            <w:tcW w:w="924" w:type="pct"/>
            <w:tcBorders>
              <w:top w:val="single" w:sz="4" w:space="0" w:color="auto"/>
              <w:left w:val="single" w:sz="4" w:space="0" w:color="auto"/>
            </w:tcBorders>
            <w:shd w:val="clear" w:color="auto" w:fill="FFFFFF"/>
            <w:vAlign w:val="center"/>
          </w:tcPr>
          <w:p w:rsidR="002D179D" w:rsidRPr="002D179D" w:rsidRDefault="002D179D" w:rsidP="002D179D">
            <w:pPr>
              <w:jc w:val="center"/>
              <w:rPr>
                <w:rFonts w:ascii="Arial" w:hAnsi="Arial" w:cs="Arial"/>
                <w:sz w:val="20"/>
                <w:szCs w:val="20"/>
              </w:rPr>
            </w:pPr>
            <w:r w:rsidRPr="002D179D">
              <w:rPr>
                <w:rFonts w:ascii="Arial" w:hAnsi="Arial" w:cs="Arial"/>
                <w:sz w:val="20"/>
                <w:szCs w:val="20"/>
              </w:rPr>
              <w:t>Million VND</w:t>
            </w:r>
          </w:p>
        </w:tc>
        <w:tc>
          <w:tcPr>
            <w:tcW w:w="1509" w:type="pct"/>
            <w:tcBorders>
              <w:top w:val="single" w:sz="4" w:space="0" w:color="auto"/>
              <w:left w:val="single" w:sz="4" w:space="0" w:color="auto"/>
              <w:right w:val="single" w:sz="4" w:space="0" w:color="auto"/>
            </w:tcBorders>
            <w:shd w:val="clear" w:color="auto" w:fill="FFFFFF"/>
          </w:tcPr>
          <w:p w:rsidR="002D179D" w:rsidRPr="002D179D" w:rsidRDefault="002D179D" w:rsidP="002D179D">
            <w:pPr>
              <w:pStyle w:val="Khc0"/>
              <w:spacing w:line="240" w:lineRule="auto"/>
              <w:ind w:left="1420" w:firstLine="0"/>
              <w:rPr>
                <w:rFonts w:ascii="Arial" w:hAnsi="Arial" w:cs="Arial"/>
                <w:color w:val="auto"/>
                <w:sz w:val="20"/>
                <w:szCs w:val="20"/>
              </w:rPr>
            </w:pPr>
            <w:r>
              <w:rPr>
                <w:rFonts w:ascii="Arial" w:hAnsi="Arial" w:cs="Arial"/>
                <w:color w:val="auto"/>
                <w:sz w:val="20"/>
                <w:szCs w:val="20"/>
              </w:rPr>
              <w:t>150,</w:t>
            </w:r>
            <w:r w:rsidRPr="002D179D">
              <w:rPr>
                <w:rFonts w:ascii="Arial" w:hAnsi="Arial" w:cs="Arial"/>
                <w:color w:val="auto"/>
                <w:sz w:val="20"/>
                <w:szCs w:val="20"/>
              </w:rPr>
              <w:t>000</w:t>
            </w:r>
          </w:p>
        </w:tc>
      </w:tr>
      <w:tr w:rsidR="002D179D" w:rsidRPr="002D179D" w:rsidTr="002D179D">
        <w:tblPrEx>
          <w:tblCellMar>
            <w:top w:w="0" w:type="dxa"/>
            <w:bottom w:w="0" w:type="dxa"/>
          </w:tblCellMar>
        </w:tblPrEx>
        <w:trPr>
          <w:trHeight w:hRule="exact" w:val="413"/>
        </w:trPr>
        <w:tc>
          <w:tcPr>
            <w:tcW w:w="2568" w:type="pct"/>
            <w:tcBorders>
              <w:top w:val="single" w:sz="4" w:space="0" w:color="auto"/>
              <w:left w:val="single" w:sz="4" w:space="0" w:color="auto"/>
            </w:tcBorders>
            <w:shd w:val="clear" w:color="auto" w:fill="FFFFFF"/>
          </w:tcPr>
          <w:p w:rsidR="002D179D" w:rsidRPr="002D179D" w:rsidRDefault="002D179D" w:rsidP="002D179D">
            <w:pPr>
              <w:rPr>
                <w:rFonts w:ascii="Arial" w:hAnsi="Arial" w:cs="Arial"/>
                <w:sz w:val="20"/>
                <w:szCs w:val="20"/>
              </w:rPr>
            </w:pPr>
            <w:r w:rsidRPr="002D179D">
              <w:rPr>
                <w:rFonts w:ascii="Arial" w:hAnsi="Arial" w:cs="Arial"/>
                <w:sz w:val="20"/>
                <w:szCs w:val="20"/>
              </w:rPr>
              <w:t>Total profit before tax</w:t>
            </w:r>
          </w:p>
        </w:tc>
        <w:tc>
          <w:tcPr>
            <w:tcW w:w="924" w:type="pct"/>
            <w:tcBorders>
              <w:top w:val="single" w:sz="4" w:space="0" w:color="auto"/>
              <w:left w:val="single" w:sz="4" w:space="0" w:color="auto"/>
            </w:tcBorders>
            <w:shd w:val="clear" w:color="auto" w:fill="FFFFFF"/>
            <w:vAlign w:val="center"/>
          </w:tcPr>
          <w:p w:rsidR="002D179D" w:rsidRPr="002D179D" w:rsidRDefault="002D179D" w:rsidP="002D179D">
            <w:pPr>
              <w:jc w:val="center"/>
              <w:rPr>
                <w:rFonts w:ascii="Arial" w:hAnsi="Arial" w:cs="Arial"/>
                <w:sz w:val="20"/>
                <w:szCs w:val="20"/>
              </w:rPr>
            </w:pPr>
            <w:r w:rsidRPr="002D179D">
              <w:rPr>
                <w:rFonts w:ascii="Arial" w:hAnsi="Arial" w:cs="Arial"/>
                <w:sz w:val="20"/>
                <w:szCs w:val="20"/>
              </w:rPr>
              <w:t>Million VND</w:t>
            </w:r>
          </w:p>
        </w:tc>
        <w:tc>
          <w:tcPr>
            <w:tcW w:w="1509" w:type="pct"/>
            <w:tcBorders>
              <w:top w:val="single" w:sz="4" w:space="0" w:color="auto"/>
              <w:left w:val="single" w:sz="4" w:space="0" w:color="auto"/>
              <w:right w:val="single" w:sz="4" w:space="0" w:color="auto"/>
            </w:tcBorders>
            <w:shd w:val="clear" w:color="auto" w:fill="FFFFFF"/>
          </w:tcPr>
          <w:p w:rsidR="002D179D" w:rsidRPr="002D179D" w:rsidRDefault="002D179D" w:rsidP="002D179D">
            <w:pPr>
              <w:pStyle w:val="Khc0"/>
              <w:spacing w:line="240" w:lineRule="auto"/>
              <w:ind w:left="1660" w:firstLine="0"/>
              <w:rPr>
                <w:rFonts w:ascii="Arial" w:hAnsi="Arial" w:cs="Arial"/>
                <w:color w:val="auto"/>
                <w:sz w:val="20"/>
                <w:szCs w:val="20"/>
              </w:rPr>
            </w:pPr>
            <w:r>
              <w:rPr>
                <w:rFonts w:ascii="Arial" w:hAnsi="Arial" w:cs="Arial"/>
                <w:color w:val="auto"/>
                <w:sz w:val="20"/>
                <w:szCs w:val="20"/>
              </w:rPr>
              <w:t>4,</w:t>
            </w:r>
            <w:r w:rsidRPr="002D179D">
              <w:rPr>
                <w:rFonts w:ascii="Arial" w:hAnsi="Arial" w:cs="Arial"/>
                <w:color w:val="auto"/>
                <w:sz w:val="20"/>
                <w:szCs w:val="20"/>
              </w:rPr>
              <w:t>581</w:t>
            </w:r>
          </w:p>
        </w:tc>
      </w:tr>
      <w:tr w:rsidR="002D179D" w:rsidRPr="002D179D" w:rsidTr="002D179D">
        <w:tblPrEx>
          <w:tblCellMar>
            <w:top w:w="0" w:type="dxa"/>
            <w:bottom w:w="0" w:type="dxa"/>
          </w:tblCellMar>
        </w:tblPrEx>
        <w:trPr>
          <w:trHeight w:hRule="exact" w:val="418"/>
        </w:trPr>
        <w:tc>
          <w:tcPr>
            <w:tcW w:w="2568" w:type="pct"/>
            <w:tcBorders>
              <w:top w:val="single" w:sz="4" w:space="0" w:color="auto"/>
              <w:left w:val="single" w:sz="4" w:space="0" w:color="auto"/>
              <w:bottom w:val="single" w:sz="4" w:space="0" w:color="auto"/>
            </w:tcBorders>
            <w:shd w:val="clear" w:color="auto" w:fill="FFFFFF"/>
          </w:tcPr>
          <w:p w:rsidR="002D179D" w:rsidRPr="002D179D" w:rsidRDefault="002D179D" w:rsidP="002D179D">
            <w:pPr>
              <w:rPr>
                <w:rFonts w:ascii="Arial" w:hAnsi="Arial" w:cs="Arial"/>
                <w:sz w:val="20"/>
                <w:szCs w:val="20"/>
              </w:rPr>
            </w:pPr>
            <w:r w:rsidRPr="002D179D">
              <w:rPr>
                <w:rFonts w:ascii="Arial" w:hAnsi="Arial" w:cs="Arial"/>
                <w:sz w:val="20"/>
                <w:szCs w:val="20"/>
              </w:rPr>
              <w:t>Profit after tax</w:t>
            </w:r>
          </w:p>
        </w:tc>
        <w:tc>
          <w:tcPr>
            <w:tcW w:w="924" w:type="pct"/>
            <w:tcBorders>
              <w:top w:val="single" w:sz="4" w:space="0" w:color="auto"/>
              <w:left w:val="single" w:sz="4" w:space="0" w:color="auto"/>
              <w:bottom w:val="single" w:sz="4" w:space="0" w:color="auto"/>
            </w:tcBorders>
            <w:shd w:val="clear" w:color="auto" w:fill="FFFFFF"/>
            <w:vAlign w:val="center"/>
          </w:tcPr>
          <w:p w:rsidR="002D179D" w:rsidRPr="002D179D" w:rsidRDefault="002D179D" w:rsidP="002D179D">
            <w:pPr>
              <w:jc w:val="center"/>
              <w:rPr>
                <w:rFonts w:ascii="Arial" w:hAnsi="Arial" w:cs="Arial"/>
                <w:sz w:val="20"/>
                <w:szCs w:val="20"/>
              </w:rPr>
            </w:pPr>
            <w:r w:rsidRPr="002D179D">
              <w:rPr>
                <w:rFonts w:ascii="Arial" w:hAnsi="Arial" w:cs="Arial"/>
                <w:sz w:val="20"/>
                <w:szCs w:val="20"/>
              </w:rPr>
              <w:t>Million VND</w:t>
            </w:r>
          </w:p>
        </w:tc>
        <w:tc>
          <w:tcPr>
            <w:tcW w:w="1509" w:type="pct"/>
            <w:tcBorders>
              <w:top w:val="single" w:sz="4" w:space="0" w:color="auto"/>
              <w:left w:val="single" w:sz="4" w:space="0" w:color="auto"/>
              <w:bottom w:val="single" w:sz="4" w:space="0" w:color="auto"/>
              <w:right w:val="single" w:sz="4" w:space="0" w:color="auto"/>
            </w:tcBorders>
            <w:shd w:val="clear" w:color="auto" w:fill="FFFFFF"/>
          </w:tcPr>
          <w:p w:rsidR="002D179D" w:rsidRPr="002D179D" w:rsidRDefault="002D179D" w:rsidP="002D179D">
            <w:pPr>
              <w:pStyle w:val="Khc0"/>
              <w:spacing w:line="240" w:lineRule="auto"/>
              <w:ind w:left="1660" w:firstLine="0"/>
              <w:rPr>
                <w:rFonts w:ascii="Arial" w:hAnsi="Arial" w:cs="Arial"/>
                <w:color w:val="auto"/>
                <w:sz w:val="20"/>
                <w:szCs w:val="20"/>
              </w:rPr>
            </w:pPr>
            <w:r>
              <w:rPr>
                <w:rFonts w:ascii="Arial" w:hAnsi="Arial" w:cs="Arial"/>
                <w:color w:val="auto"/>
                <w:sz w:val="20"/>
                <w:szCs w:val="20"/>
              </w:rPr>
              <w:t>4,</w:t>
            </w:r>
            <w:r w:rsidRPr="002D179D">
              <w:rPr>
                <w:rFonts w:ascii="Arial" w:hAnsi="Arial" w:cs="Arial"/>
                <w:color w:val="auto"/>
                <w:sz w:val="20"/>
                <w:szCs w:val="20"/>
              </w:rPr>
              <w:t>581</w:t>
            </w:r>
          </w:p>
        </w:tc>
      </w:tr>
    </w:tbl>
    <w:p w:rsidR="002D179D" w:rsidRPr="002D179D" w:rsidRDefault="002D179D" w:rsidP="001420DC">
      <w:pPr>
        <w:spacing w:after="120" w:line="360" w:lineRule="auto"/>
        <w:rPr>
          <w:rFonts w:ascii="Arial" w:eastAsia="Arial" w:hAnsi="Arial" w:cs="Arial"/>
          <w:sz w:val="20"/>
          <w:szCs w:val="20"/>
        </w:rPr>
      </w:pP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Article 2. Approval of pr</w:t>
      </w:r>
      <w:r w:rsidR="002D179D">
        <w:rPr>
          <w:rFonts w:ascii="Arial" w:eastAsia="Arial" w:hAnsi="Arial" w:cs="Arial"/>
          <w:sz w:val="20"/>
          <w:szCs w:val="20"/>
        </w:rPr>
        <w:t xml:space="preserve">eparations to organize the </w:t>
      </w:r>
      <w:r w:rsidRPr="002D179D">
        <w:rPr>
          <w:rFonts w:ascii="Arial" w:eastAsia="Arial" w:hAnsi="Arial" w:cs="Arial"/>
          <w:sz w:val="20"/>
          <w:szCs w:val="20"/>
        </w:rPr>
        <w:t>Annual General Meeting of Shareholders</w:t>
      </w:r>
      <w:r w:rsidR="002D179D">
        <w:rPr>
          <w:rFonts w:ascii="Arial" w:eastAsia="Arial" w:hAnsi="Arial" w:cs="Arial"/>
          <w:sz w:val="20"/>
          <w:szCs w:val="20"/>
        </w:rPr>
        <w:t xml:space="preserve"> 2024</w:t>
      </w:r>
      <w:r w:rsidRPr="002D179D">
        <w:rPr>
          <w:rFonts w:ascii="Arial" w:eastAsia="Arial" w:hAnsi="Arial" w:cs="Arial"/>
          <w:sz w:val="20"/>
          <w:szCs w:val="20"/>
        </w:rPr>
        <w:t>:</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Expected time to hold the General Meeting of Shareholders is April 19, 2024.</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Implement work assignments and progress on completion of contents rela</w:t>
      </w:r>
      <w:r w:rsidR="002D179D">
        <w:rPr>
          <w:rFonts w:ascii="Arial" w:eastAsia="Arial" w:hAnsi="Arial" w:cs="Arial"/>
          <w:sz w:val="20"/>
          <w:szCs w:val="20"/>
        </w:rPr>
        <w:t>ted to the organization of the A</w:t>
      </w:r>
      <w:r w:rsidRPr="002D179D">
        <w:rPr>
          <w:rFonts w:ascii="Arial" w:eastAsia="Arial" w:hAnsi="Arial" w:cs="Arial"/>
          <w:sz w:val="20"/>
          <w:szCs w:val="20"/>
        </w:rPr>
        <w:t xml:space="preserve">nnual General Meeting of Shareholders (Send notification to </w:t>
      </w:r>
      <w:r w:rsidR="002D179D">
        <w:rPr>
          <w:rFonts w:ascii="Arial" w:eastAsia="Arial" w:hAnsi="Arial" w:cs="Arial"/>
          <w:sz w:val="20"/>
          <w:szCs w:val="20"/>
        </w:rPr>
        <w:t>record</w:t>
      </w:r>
      <w:r w:rsidRPr="002D179D">
        <w:rPr>
          <w:rFonts w:ascii="Arial" w:eastAsia="Arial" w:hAnsi="Arial" w:cs="Arial"/>
          <w:sz w:val="20"/>
          <w:szCs w:val="20"/>
        </w:rPr>
        <w:t xml:space="preserve"> the list of shareholders atten</w:t>
      </w:r>
      <w:r w:rsidR="002D179D">
        <w:rPr>
          <w:rFonts w:ascii="Arial" w:eastAsia="Arial" w:hAnsi="Arial" w:cs="Arial"/>
          <w:sz w:val="20"/>
          <w:szCs w:val="20"/>
        </w:rPr>
        <w:t xml:space="preserve">ding the meeting until the record </w:t>
      </w:r>
      <w:r w:rsidRPr="002D179D">
        <w:rPr>
          <w:rFonts w:ascii="Arial" w:eastAsia="Arial" w:hAnsi="Arial" w:cs="Arial"/>
          <w:sz w:val="20"/>
          <w:szCs w:val="20"/>
        </w:rPr>
        <w:t>date</w:t>
      </w:r>
      <w:r w:rsidR="002D179D">
        <w:rPr>
          <w:rFonts w:ascii="Arial" w:eastAsia="Arial" w:hAnsi="Arial" w:cs="Arial"/>
          <w:sz w:val="20"/>
          <w:szCs w:val="20"/>
        </w:rPr>
        <w:t xml:space="preserve"> being March 25, </w:t>
      </w:r>
      <w:r w:rsidRPr="002D179D">
        <w:rPr>
          <w:rFonts w:ascii="Arial" w:eastAsia="Arial" w:hAnsi="Arial" w:cs="Arial"/>
          <w:sz w:val="20"/>
          <w:szCs w:val="20"/>
        </w:rPr>
        <w:t>2024).</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Article 3. Approval of a number of other tasks:</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XMC Company's employment and financial situation supports XMD in completing its production and business plan</w:t>
      </w:r>
      <w:r w:rsidR="003F74C2">
        <w:rPr>
          <w:rFonts w:ascii="Arial" w:eastAsia="Arial" w:hAnsi="Arial" w:cs="Arial"/>
          <w:sz w:val="20"/>
          <w:szCs w:val="20"/>
        </w:rPr>
        <w:t xml:space="preserve"> for 2024</w:t>
      </w:r>
      <w:r w:rsidRPr="002D179D">
        <w:rPr>
          <w:rFonts w:ascii="Arial" w:eastAsia="Arial" w:hAnsi="Arial" w:cs="Arial"/>
          <w:sz w:val="20"/>
          <w:szCs w:val="20"/>
        </w:rPr>
        <w:t>.</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xml:space="preserve">- Develop human resources according to plan to ensure production and business plans </w:t>
      </w:r>
      <w:r w:rsidR="003F74C2">
        <w:rPr>
          <w:rFonts w:ascii="Arial" w:eastAsia="Arial" w:hAnsi="Arial" w:cs="Arial"/>
          <w:sz w:val="20"/>
          <w:szCs w:val="20"/>
        </w:rPr>
        <w:t>for</w:t>
      </w:r>
      <w:r w:rsidRPr="002D179D">
        <w:rPr>
          <w:rFonts w:ascii="Arial" w:eastAsia="Arial" w:hAnsi="Arial" w:cs="Arial"/>
          <w:sz w:val="20"/>
          <w:szCs w:val="20"/>
        </w:rPr>
        <w:t xml:space="preserve"> 2024.</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Approve the policy of providing labor productivity compensation for newly recruited workers.</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Strictly control progress, quality and safety in construction.</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Job orienta</w:t>
      </w:r>
      <w:r w:rsidR="003F74C2">
        <w:rPr>
          <w:rFonts w:ascii="Arial" w:eastAsia="Arial" w:hAnsi="Arial" w:cs="Arial"/>
          <w:sz w:val="20"/>
          <w:szCs w:val="20"/>
        </w:rPr>
        <w:t>tions of Holding</w:t>
      </w:r>
      <w:r w:rsidRPr="002D179D">
        <w:rPr>
          <w:rFonts w:ascii="Arial" w:eastAsia="Arial" w:hAnsi="Arial" w:cs="Arial"/>
          <w:sz w:val="20"/>
          <w:szCs w:val="20"/>
        </w:rPr>
        <w:t xml:space="preserve"> Company</w:t>
      </w:r>
      <w:r w:rsidR="003F74C2">
        <w:rPr>
          <w:rFonts w:ascii="Arial" w:eastAsia="Arial" w:hAnsi="Arial" w:cs="Arial"/>
          <w:sz w:val="20"/>
          <w:szCs w:val="20"/>
        </w:rPr>
        <w:t xml:space="preserve"> XMC</w:t>
      </w:r>
      <w:r w:rsidRPr="002D179D">
        <w:rPr>
          <w:rFonts w:ascii="Arial" w:eastAsia="Arial" w:hAnsi="Arial" w:cs="Arial"/>
          <w:sz w:val="20"/>
          <w:szCs w:val="20"/>
        </w:rPr>
        <w:t>.</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xml:space="preserve">- Feedback to </w:t>
      </w:r>
      <w:r w:rsidR="003F74C2">
        <w:rPr>
          <w:rFonts w:ascii="Arial" w:eastAsia="Arial" w:hAnsi="Arial" w:cs="Arial"/>
          <w:sz w:val="20"/>
          <w:szCs w:val="20"/>
        </w:rPr>
        <w:t>Holding</w:t>
      </w:r>
      <w:r w:rsidR="003F74C2" w:rsidRPr="002D179D">
        <w:rPr>
          <w:rFonts w:ascii="Arial" w:eastAsia="Arial" w:hAnsi="Arial" w:cs="Arial"/>
          <w:sz w:val="20"/>
          <w:szCs w:val="20"/>
        </w:rPr>
        <w:t xml:space="preserve"> Company</w:t>
      </w:r>
      <w:r w:rsidR="003F74C2">
        <w:rPr>
          <w:rFonts w:ascii="Arial" w:eastAsia="Arial" w:hAnsi="Arial" w:cs="Arial"/>
          <w:sz w:val="20"/>
          <w:szCs w:val="20"/>
        </w:rPr>
        <w:t xml:space="preserve"> XMC</w:t>
      </w:r>
      <w:r w:rsidR="003F74C2">
        <w:rPr>
          <w:rFonts w:ascii="Arial" w:eastAsia="Arial" w:hAnsi="Arial" w:cs="Arial"/>
          <w:sz w:val="20"/>
          <w:szCs w:val="20"/>
        </w:rPr>
        <w:t xml:space="preserve">’s opinion </w:t>
      </w:r>
      <w:r w:rsidRPr="002D179D">
        <w:rPr>
          <w:rFonts w:ascii="Arial" w:eastAsia="Arial" w:hAnsi="Arial" w:cs="Arial"/>
          <w:sz w:val="20"/>
          <w:szCs w:val="20"/>
        </w:rPr>
        <w:t>as soon as possible on the application of new norms for internal contract unit prices.</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Coordinate with design units in the system to optimize typical formwork systems to increase labor productivity and efficiency in business plans.</w:t>
      </w:r>
    </w:p>
    <w:p w:rsidR="001420DC"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Collaborate and develop effectively with units in the country's PC Association.</w:t>
      </w:r>
    </w:p>
    <w:p w:rsidR="00C00B3B" w:rsidRPr="002D179D" w:rsidRDefault="001420DC" w:rsidP="001420DC">
      <w:pPr>
        <w:spacing w:after="120" w:line="360" w:lineRule="auto"/>
        <w:rPr>
          <w:rFonts w:ascii="Arial" w:eastAsia="Arial" w:hAnsi="Arial" w:cs="Arial"/>
          <w:sz w:val="20"/>
          <w:szCs w:val="20"/>
        </w:rPr>
      </w:pPr>
      <w:r w:rsidRPr="002D179D">
        <w:rPr>
          <w:rFonts w:ascii="Arial" w:eastAsia="Arial" w:hAnsi="Arial" w:cs="Arial"/>
          <w:sz w:val="20"/>
          <w:szCs w:val="20"/>
        </w:rPr>
        <w:t xml:space="preserve">Article 4. This Resolution takes effect from the date of signing. Members of the Board of Directors, Executive Board, relevant units and individuals, based on their functions and duties, shall implement the content of this resolution in accordance with the provisions of Law </w:t>
      </w:r>
      <w:r w:rsidR="003F74C2">
        <w:rPr>
          <w:rFonts w:ascii="Arial" w:eastAsia="Arial" w:hAnsi="Arial" w:cs="Arial"/>
          <w:sz w:val="20"/>
          <w:szCs w:val="20"/>
        </w:rPr>
        <w:t>and the Charter of the Company./.</w:t>
      </w:r>
    </w:p>
    <w:sectPr w:rsidR="00C00B3B" w:rsidRPr="002D179D" w:rsidSect="007C5BE2">
      <w:pgSz w:w="11900" w:h="16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00B3B"/>
    <w:rsid w:val="001420DC"/>
    <w:rsid w:val="002D179D"/>
    <w:rsid w:val="003F74C2"/>
    <w:rsid w:val="005D593B"/>
    <w:rsid w:val="005D7684"/>
    <w:rsid w:val="00610964"/>
    <w:rsid w:val="007C5BE2"/>
    <w:rsid w:val="00891C0D"/>
    <w:rsid w:val="00C00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F902"/>
  <w15:docId w15:val="{0511D2EB-AD69-41FF-97F0-69FE914B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84"/>
  </w:style>
  <w:style w:type="paragraph" w:styleId="Heading1">
    <w:name w:val="heading 1"/>
    <w:basedOn w:val="Normal"/>
    <w:next w:val="Normal"/>
    <w:uiPriority w:val="9"/>
    <w:qFormat/>
    <w:rsid w:val="005D768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D768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D768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D768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D7684"/>
    <w:pPr>
      <w:keepNext/>
      <w:keepLines/>
      <w:spacing w:before="220" w:after="40"/>
      <w:outlineLvl w:val="4"/>
    </w:pPr>
    <w:rPr>
      <w:b/>
    </w:rPr>
  </w:style>
  <w:style w:type="paragraph" w:styleId="Heading6">
    <w:name w:val="heading 6"/>
    <w:basedOn w:val="Normal"/>
    <w:next w:val="Normal"/>
    <w:uiPriority w:val="9"/>
    <w:semiHidden/>
    <w:unhideWhenUsed/>
    <w:qFormat/>
    <w:rsid w:val="005D76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D7684"/>
    <w:pPr>
      <w:keepNext/>
      <w:keepLines/>
      <w:spacing w:before="480" w:after="120"/>
    </w:pPr>
    <w:rPr>
      <w:b/>
      <w:sz w:val="72"/>
      <w:szCs w:val="72"/>
    </w:rPr>
  </w:style>
  <w:style w:type="paragraph" w:styleId="NormalWeb">
    <w:name w:val="Normal (Web)"/>
    <w:basedOn w:val="Normal"/>
    <w:uiPriority w:val="99"/>
    <w:semiHidden/>
    <w:unhideWhenUsed/>
    <w:rsid w:val="008F770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rsid w:val="005D7684"/>
    <w:pPr>
      <w:keepNext/>
      <w:keepLines/>
      <w:spacing w:before="360" w:after="80"/>
    </w:pPr>
    <w:rPr>
      <w:rFonts w:ascii="Georgia" w:eastAsia="Georgia" w:hAnsi="Georgia" w:cs="Georgia"/>
      <w:i/>
      <w:color w:val="666666"/>
      <w:sz w:val="48"/>
      <w:szCs w:val="48"/>
    </w:rPr>
  </w:style>
  <w:style w:type="character" w:customStyle="1" w:styleId="Khc">
    <w:name w:val="Khác_"/>
    <w:basedOn w:val="DefaultParagraphFont"/>
    <w:link w:val="Khc0"/>
    <w:rsid w:val="002D179D"/>
    <w:rPr>
      <w:rFonts w:ascii="Times New Roman" w:eastAsia="Times New Roman" w:hAnsi="Times New Roman" w:cs="Times New Roman"/>
      <w:color w:val="495A63"/>
    </w:rPr>
  </w:style>
  <w:style w:type="paragraph" w:customStyle="1" w:styleId="Khc0">
    <w:name w:val="Khác"/>
    <w:basedOn w:val="Normal"/>
    <w:link w:val="Khc"/>
    <w:rsid w:val="002D179D"/>
    <w:pPr>
      <w:widowControl w:val="0"/>
      <w:spacing w:after="0" w:line="264" w:lineRule="auto"/>
      <w:ind w:firstLine="400"/>
    </w:pPr>
    <w:rPr>
      <w:rFonts w:ascii="Times New Roman" w:eastAsia="Times New Roman" w:hAnsi="Times New Roman" w:cs="Times New Roman"/>
      <w:color w:val="495A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s2Ca4JPp/8sVTXsHz2TN+/HdA==">AMUW2mXqchKhmVriOG3Ap58gxo6TXUSglupSK0yl/wvipw3WVN6Vk/bENVuPq38WGZDFGuNzMmm+UjezJInKJN+1ddjyp73cPcewMmQnwl/5FuGF6eI9LCkXDFBfbK+cF1KpLIoOB/np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Tạ Thị Bích Thảo</dc:creator>
  <cp:lastModifiedBy>Trinh Ha Phuong</cp:lastModifiedBy>
  <cp:revision>5</cp:revision>
  <dcterms:created xsi:type="dcterms:W3CDTF">2022-01-26T04:29:00Z</dcterms:created>
  <dcterms:modified xsi:type="dcterms:W3CDTF">2024-03-07T12:21:00Z</dcterms:modified>
</cp:coreProperties>
</file>