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0048E" w14:textId="77777777" w:rsidR="006664BA" w:rsidRPr="00CF770B" w:rsidRDefault="008E7DF4" w:rsidP="0038048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CF770B">
        <w:rPr>
          <w:rFonts w:ascii="Arial" w:hAnsi="Arial" w:cs="Arial"/>
          <w:b/>
          <w:color w:val="010000"/>
          <w:sz w:val="20"/>
        </w:rPr>
        <w:t>CTG121030: Board Resolution</w:t>
      </w:r>
    </w:p>
    <w:p w14:paraId="5220048F" w14:textId="77777777" w:rsidR="006664BA" w:rsidRPr="00CF770B" w:rsidRDefault="008E7DF4" w:rsidP="0038048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F770B">
        <w:rPr>
          <w:rFonts w:ascii="Arial" w:hAnsi="Arial" w:cs="Arial"/>
          <w:color w:val="010000"/>
          <w:sz w:val="20"/>
        </w:rPr>
        <w:t>On March 8, 2024, Corporate bond of Vietnam Joint Stock Commercial Bank of Industry and Trade announced Resolution No. 046/NQ-HDQT-NHCT-VPDQT1 on approving the Development Strategy for the 2021 - 2025 period, vision to 2030 as follows:</w:t>
      </w:r>
    </w:p>
    <w:p w14:paraId="52200490" w14:textId="645B0131" w:rsidR="006664BA" w:rsidRPr="00CF770B" w:rsidRDefault="008E7DF4" w:rsidP="0038048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F770B">
        <w:rPr>
          <w:rFonts w:ascii="Arial" w:hAnsi="Arial" w:cs="Arial"/>
          <w:color w:val="010000"/>
          <w:sz w:val="20"/>
        </w:rPr>
        <w:t>Article 1. Approve the Bank's Development Strategy for the 2021 - 2025 period, vision to 2030 (</w:t>
      </w:r>
      <w:r w:rsidR="00DD2860" w:rsidRPr="00CF770B">
        <w:rPr>
          <w:rFonts w:ascii="Arial" w:hAnsi="Arial" w:cs="Arial"/>
          <w:color w:val="010000"/>
          <w:sz w:val="20"/>
        </w:rPr>
        <w:t xml:space="preserve">hereinafter referred to as </w:t>
      </w:r>
      <w:r w:rsidRPr="00CF770B">
        <w:rPr>
          <w:rFonts w:ascii="Arial" w:hAnsi="Arial" w:cs="Arial"/>
          <w:color w:val="010000"/>
          <w:sz w:val="20"/>
        </w:rPr>
        <w:t>the Strategy) according to the attached Appendix.</w:t>
      </w:r>
    </w:p>
    <w:p w14:paraId="52200491" w14:textId="77777777" w:rsidR="006664BA" w:rsidRPr="00CF770B" w:rsidRDefault="008E7DF4" w:rsidP="0038048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F770B">
        <w:rPr>
          <w:rFonts w:ascii="Arial" w:hAnsi="Arial" w:cs="Arial"/>
          <w:color w:val="010000"/>
          <w:sz w:val="20"/>
        </w:rPr>
        <w:t>Article 2. Terms of enforcement</w:t>
      </w:r>
    </w:p>
    <w:p w14:paraId="52200492" w14:textId="1E01E36A" w:rsidR="006664BA" w:rsidRPr="00CF770B" w:rsidRDefault="008E7DF4" w:rsidP="003804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95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F770B">
        <w:rPr>
          <w:rFonts w:ascii="Arial" w:hAnsi="Arial" w:cs="Arial"/>
          <w:color w:val="010000"/>
          <w:sz w:val="20"/>
        </w:rPr>
        <w:t xml:space="preserve">The Board of Directors is responsible for directing the implementation and periodically monitoring the implementation of the Strategy; proposes that the State Bank </w:t>
      </w:r>
      <w:r w:rsidR="00FC09B9" w:rsidRPr="00CF770B">
        <w:rPr>
          <w:rFonts w:ascii="Arial" w:hAnsi="Arial" w:cs="Arial"/>
          <w:color w:val="010000"/>
          <w:sz w:val="20"/>
        </w:rPr>
        <w:t>consider</w:t>
      </w:r>
      <w:r w:rsidRPr="00CF770B">
        <w:rPr>
          <w:rFonts w:ascii="Arial" w:hAnsi="Arial" w:cs="Arial"/>
          <w:color w:val="010000"/>
          <w:sz w:val="20"/>
        </w:rPr>
        <w:t xml:space="preserve"> resolving difficulties, amending and supplementing the Strategy (if necessary) during the Strategy implementation process.</w:t>
      </w:r>
    </w:p>
    <w:p w14:paraId="52200493" w14:textId="11B5644E" w:rsidR="006664BA" w:rsidRPr="00CF770B" w:rsidRDefault="008E7DF4" w:rsidP="0038048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52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F770B">
        <w:rPr>
          <w:rFonts w:ascii="Arial" w:hAnsi="Arial" w:cs="Arial"/>
          <w:color w:val="010000"/>
          <w:sz w:val="20"/>
        </w:rPr>
        <w:t>Assign the General Manager/Depu</w:t>
      </w:r>
      <w:bookmarkStart w:id="0" w:name="_GoBack"/>
      <w:bookmarkEnd w:id="0"/>
      <w:r w:rsidRPr="00CF770B">
        <w:rPr>
          <w:rFonts w:ascii="Arial" w:hAnsi="Arial" w:cs="Arial"/>
          <w:color w:val="010000"/>
          <w:sz w:val="20"/>
        </w:rPr>
        <w:t>ty General Manager in charge of the Executive Board</w:t>
      </w:r>
      <w:r w:rsidR="00FC09B9" w:rsidRPr="00CF770B">
        <w:rPr>
          <w:rFonts w:ascii="Arial" w:hAnsi="Arial" w:cs="Arial"/>
          <w:color w:val="010000"/>
          <w:sz w:val="20"/>
        </w:rPr>
        <w:t xml:space="preserve"> to</w:t>
      </w:r>
      <w:r w:rsidRPr="00CF770B">
        <w:rPr>
          <w:rFonts w:ascii="Arial" w:hAnsi="Arial" w:cs="Arial"/>
          <w:color w:val="010000"/>
          <w:sz w:val="20"/>
        </w:rPr>
        <w:t>:</w:t>
      </w:r>
    </w:p>
    <w:p w14:paraId="52200494" w14:textId="3E6C7F07" w:rsidR="006664BA" w:rsidRPr="00CF770B" w:rsidRDefault="008E7DF4" w:rsidP="003804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F770B">
        <w:rPr>
          <w:rFonts w:ascii="Arial" w:hAnsi="Arial" w:cs="Arial"/>
          <w:color w:val="010000"/>
          <w:sz w:val="20"/>
        </w:rPr>
        <w:t>Direct relevant functional units to effectively organize the implementation plan of the Bank's Development Strategy for the 2021 - 2025 period, vision to 2030; Deploy annual business plans in accordance with strategic orientation to serve as a basis for monitoring and supervising implementation. The content of the plan must meet the following requirements: (</w:t>
      </w:r>
      <w:proofErr w:type="spellStart"/>
      <w:r w:rsidRPr="00CF770B">
        <w:rPr>
          <w:rFonts w:ascii="Arial" w:hAnsi="Arial" w:cs="Arial"/>
          <w:color w:val="010000"/>
          <w:sz w:val="20"/>
        </w:rPr>
        <w:t>i</w:t>
      </w:r>
      <w:proofErr w:type="spellEnd"/>
      <w:r w:rsidRPr="00CF770B">
        <w:rPr>
          <w:rFonts w:ascii="Arial" w:hAnsi="Arial" w:cs="Arial"/>
          <w:color w:val="010000"/>
          <w:sz w:val="20"/>
        </w:rPr>
        <w:t xml:space="preserve">) Develop a complete, detailed and systematic system of tasks that need to be implemented, closely following the content of the Strategy; (ii) Develop an implementation roadmap and detailed expected results for each stage. Objective results of quantifiable </w:t>
      </w:r>
      <w:r w:rsidR="004F1CF2" w:rsidRPr="00CF770B">
        <w:rPr>
          <w:rFonts w:ascii="Arial" w:hAnsi="Arial" w:cs="Arial"/>
          <w:color w:val="010000"/>
          <w:sz w:val="20"/>
        </w:rPr>
        <w:t>targets</w:t>
      </w:r>
      <w:r w:rsidRPr="00CF770B">
        <w:rPr>
          <w:rFonts w:ascii="Arial" w:hAnsi="Arial" w:cs="Arial"/>
          <w:color w:val="010000"/>
          <w:sz w:val="20"/>
        </w:rPr>
        <w:t xml:space="preserve"> need to be shown with specific measurement data. Qualitative measurement </w:t>
      </w:r>
      <w:r w:rsidR="004F1CF2" w:rsidRPr="00CF770B">
        <w:rPr>
          <w:rFonts w:ascii="Arial" w:hAnsi="Arial" w:cs="Arial"/>
          <w:color w:val="010000"/>
          <w:sz w:val="20"/>
        </w:rPr>
        <w:t>targe</w:t>
      </w:r>
      <w:r w:rsidR="00073F97" w:rsidRPr="00CF770B">
        <w:rPr>
          <w:rFonts w:ascii="Arial" w:hAnsi="Arial" w:cs="Arial"/>
          <w:color w:val="010000"/>
          <w:sz w:val="20"/>
        </w:rPr>
        <w:t xml:space="preserve">ts </w:t>
      </w:r>
      <w:r w:rsidRPr="00CF770B">
        <w:rPr>
          <w:rFonts w:ascii="Arial" w:hAnsi="Arial" w:cs="Arial"/>
          <w:color w:val="010000"/>
          <w:sz w:val="20"/>
        </w:rPr>
        <w:t>need to</w:t>
      </w:r>
      <w:r w:rsidR="00073F97" w:rsidRPr="00CF770B">
        <w:rPr>
          <w:rFonts w:ascii="Arial" w:hAnsi="Arial" w:cs="Arial"/>
          <w:color w:val="010000"/>
          <w:sz w:val="20"/>
        </w:rPr>
        <w:t xml:space="preserve"> be</w:t>
      </w:r>
      <w:r w:rsidRPr="00CF770B">
        <w:rPr>
          <w:rFonts w:ascii="Arial" w:hAnsi="Arial" w:cs="Arial"/>
          <w:color w:val="010000"/>
          <w:sz w:val="20"/>
        </w:rPr>
        <w:t xml:space="preserve"> clearly </w:t>
      </w:r>
      <w:r w:rsidR="00073F97" w:rsidRPr="00CF770B">
        <w:rPr>
          <w:rFonts w:ascii="Arial" w:hAnsi="Arial" w:cs="Arial"/>
          <w:color w:val="010000"/>
          <w:sz w:val="20"/>
        </w:rPr>
        <w:t>defined regarding</w:t>
      </w:r>
      <w:r w:rsidRPr="00CF770B">
        <w:rPr>
          <w:rFonts w:ascii="Arial" w:hAnsi="Arial" w:cs="Arial"/>
          <w:color w:val="010000"/>
          <w:sz w:val="20"/>
        </w:rPr>
        <w:t xml:space="preserve"> criteria for evaluating the level of plan completion in each stage.</w:t>
      </w:r>
    </w:p>
    <w:p w14:paraId="52200495" w14:textId="77777777" w:rsidR="006664BA" w:rsidRPr="00CF770B" w:rsidRDefault="008E7DF4" w:rsidP="003804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F770B">
        <w:rPr>
          <w:rFonts w:ascii="Arial" w:hAnsi="Arial" w:cs="Arial"/>
          <w:color w:val="010000"/>
          <w:sz w:val="20"/>
        </w:rPr>
        <w:t>Periodically report to the State Bank according to Decision No. 34/QD-NHNN dated January 07, 2019 of the State Bank on promulgating the Banking Industry Action Program to implement the Vietnam Banking Industry Development Strategy until 2025, orientation to 2030.</w:t>
      </w:r>
    </w:p>
    <w:p w14:paraId="52200496" w14:textId="77777777" w:rsidR="006664BA" w:rsidRPr="00CF770B" w:rsidRDefault="008E7DF4" w:rsidP="003804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5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F770B">
        <w:rPr>
          <w:rFonts w:ascii="Arial" w:hAnsi="Arial" w:cs="Arial"/>
          <w:color w:val="010000"/>
          <w:sz w:val="20"/>
        </w:rPr>
        <w:t>Periodically and regularly monitor and urge the implementation of the Strategy implementation plan; Report annually or at the request of the Board of Directors, propose to the Board of Directors to adjust the plan if necessary to ensure effective implementation of the Strategy.</w:t>
      </w:r>
    </w:p>
    <w:p w14:paraId="52200497" w14:textId="77777777" w:rsidR="006664BA" w:rsidRPr="00CF770B" w:rsidRDefault="008E7DF4" w:rsidP="00380481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F770B">
        <w:rPr>
          <w:rFonts w:ascii="Arial" w:hAnsi="Arial" w:cs="Arial"/>
          <w:color w:val="010000"/>
          <w:sz w:val="20"/>
        </w:rPr>
        <w:t>Article 3. Terms of enforcement</w:t>
      </w:r>
    </w:p>
    <w:p w14:paraId="52200498" w14:textId="77777777" w:rsidR="006664BA" w:rsidRPr="00CF770B" w:rsidRDefault="008E7DF4" w:rsidP="003804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0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F770B">
        <w:rPr>
          <w:rFonts w:ascii="Arial" w:hAnsi="Arial" w:cs="Arial"/>
          <w:color w:val="010000"/>
          <w:sz w:val="20"/>
        </w:rPr>
        <w:t>This Board Resolution takes effect from the date of its signing.</w:t>
      </w:r>
    </w:p>
    <w:p w14:paraId="52200499" w14:textId="647A2F96" w:rsidR="006664BA" w:rsidRPr="00CF770B" w:rsidRDefault="008E7DF4" w:rsidP="0038048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1028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F770B">
        <w:rPr>
          <w:rFonts w:ascii="Arial" w:hAnsi="Arial" w:cs="Arial"/>
          <w:color w:val="010000"/>
          <w:sz w:val="20"/>
        </w:rPr>
        <w:t>Members of the Board of Directors; members of the Executive Board; the Manager of Operations Division; Head of Department</w:t>
      </w:r>
      <w:r w:rsidR="00CF770B" w:rsidRPr="00CF770B">
        <w:rPr>
          <w:rFonts w:ascii="Arial" w:hAnsi="Arial" w:cs="Arial"/>
          <w:color w:val="010000"/>
          <w:sz w:val="20"/>
        </w:rPr>
        <w:t>s</w:t>
      </w:r>
      <w:r w:rsidRPr="00CF770B">
        <w:rPr>
          <w:rFonts w:ascii="Arial" w:hAnsi="Arial" w:cs="Arial"/>
          <w:color w:val="010000"/>
          <w:sz w:val="20"/>
        </w:rPr>
        <w:t>, Center</w:t>
      </w:r>
      <w:r w:rsidR="00CF770B" w:rsidRPr="00CF770B">
        <w:rPr>
          <w:rFonts w:ascii="Arial" w:hAnsi="Arial" w:cs="Arial"/>
          <w:color w:val="010000"/>
          <w:sz w:val="20"/>
        </w:rPr>
        <w:t>s</w:t>
      </w:r>
      <w:r w:rsidRPr="00CF770B">
        <w:rPr>
          <w:rFonts w:ascii="Arial" w:hAnsi="Arial" w:cs="Arial"/>
          <w:color w:val="010000"/>
          <w:sz w:val="20"/>
        </w:rPr>
        <w:t>, Unit</w:t>
      </w:r>
      <w:r w:rsidR="00CF770B" w:rsidRPr="00CF770B">
        <w:rPr>
          <w:rFonts w:ascii="Arial" w:hAnsi="Arial" w:cs="Arial"/>
          <w:color w:val="010000"/>
          <w:sz w:val="20"/>
        </w:rPr>
        <w:t>s</w:t>
      </w:r>
      <w:r w:rsidRPr="00CF770B">
        <w:rPr>
          <w:rFonts w:ascii="Arial" w:hAnsi="Arial" w:cs="Arial"/>
          <w:color w:val="010000"/>
          <w:sz w:val="20"/>
        </w:rPr>
        <w:t xml:space="preserve"> at Headquarters; Relevant units and individuals in the </w:t>
      </w:r>
      <w:r w:rsidR="00CF770B" w:rsidRPr="00CF770B">
        <w:rPr>
          <w:rFonts w:ascii="Arial" w:hAnsi="Arial" w:cs="Arial"/>
          <w:color w:val="010000"/>
          <w:sz w:val="20"/>
        </w:rPr>
        <w:t xml:space="preserve">Vietnam Joint Stock Commercial Bank of Industry and Trade </w:t>
      </w:r>
      <w:r w:rsidRPr="00CF770B">
        <w:rPr>
          <w:rFonts w:ascii="Arial" w:hAnsi="Arial" w:cs="Arial"/>
          <w:color w:val="010000"/>
          <w:sz w:val="20"/>
        </w:rPr>
        <w:t>system are responsible for implementing this Resolution.</w:t>
      </w:r>
    </w:p>
    <w:sectPr w:rsidR="006664BA" w:rsidRPr="00CF770B" w:rsidSect="008E7DF4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632A8"/>
    <w:multiLevelType w:val="multilevel"/>
    <w:tmpl w:val="3D5C4A08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06526D9"/>
    <w:multiLevelType w:val="multilevel"/>
    <w:tmpl w:val="1660E8B4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7E321839"/>
    <w:multiLevelType w:val="multilevel"/>
    <w:tmpl w:val="D004AA7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BA"/>
    <w:rsid w:val="00073F97"/>
    <w:rsid w:val="00380481"/>
    <w:rsid w:val="004F1CF2"/>
    <w:rsid w:val="006664BA"/>
    <w:rsid w:val="008E7DF4"/>
    <w:rsid w:val="00CF770B"/>
    <w:rsid w:val="00DD2860"/>
    <w:rsid w:val="00FC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20048E"/>
  <w15:docId w15:val="{738E7F7A-D99F-40BE-B8CE-A7BD8481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0">
    <w:name w:val="Heading #1_"/>
    <w:basedOn w:val="DefaultParagraphFont"/>
    <w:link w:val="Heading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pPr>
      <w:spacing w:line="233" w:lineRule="auto"/>
      <w:jc w:val="center"/>
    </w:pPr>
    <w:rPr>
      <w:rFonts w:ascii="Arial" w:eastAsia="Arial" w:hAnsi="Arial" w:cs="Arial"/>
      <w:sz w:val="15"/>
      <w:szCs w:val="15"/>
    </w:rPr>
  </w:style>
  <w:style w:type="paragraph" w:customStyle="1" w:styleId="Bodytext20">
    <w:name w:val="Body text (2)"/>
    <w:basedOn w:val="Normal"/>
    <w:link w:val="Bodytext2"/>
    <w:pPr>
      <w:spacing w:line="197" w:lineRule="auto"/>
    </w:pPr>
    <w:rPr>
      <w:rFonts w:ascii="Arial" w:eastAsia="Arial" w:hAnsi="Arial" w:cs="Arial"/>
      <w:sz w:val="8"/>
      <w:szCs w:val="8"/>
    </w:rPr>
  </w:style>
  <w:style w:type="paragraph" w:customStyle="1" w:styleId="Heading21">
    <w:name w:val="Heading #2"/>
    <w:basedOn w:val="Normal"/>
    <w:link w:val="Heading20"/>
    <w:pPr>
      <w:spacing w:line="276" w:lineRule="auto"/>
      <w:outlineLvl w:val="1"/>
    </w:pPr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qFormat/>
    <w:pPr>
      <w:spacing w:line="266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Heading11">
    <w:name w:val="Heading #1"/>
    <w:basedOn w:val="Normal"/>
    <w:link w:val="Heading10"/>
    <w:pPr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aciB/iaggOmwb7tygTfqJPs/rg==">CgMxLjA4AHIhMUFSNWlGcDNWaW5KT2xINUFCRlhSOWV6NWJCYUpUV2lo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Hoang Phuong Thao</cp:lastModifiedBy>
  <cp:revision>8</cp:revision>
  <dcterms:created xsi:type="dcterms:W3CDTF">2024-03-11T03:55:00Z</dcterms:created>
  <dcterms:modified xsi:type="dcterms:W3CDTF">2024-03-12T04:08:00Z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2b7b8c6ae744015ff176197b3c700592a2625a0245df690b521ee9a251ba8377</vt:lpwstr>
  </property>
</Properties>
</file>