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C1200">
        <w:rPr>
          <w:rFonts w:ascii="Arial" w:hAnsi="Arial" w:cs="Arial"/>
          <w:b/>
          <w:color w:val="010000"/>
          <w:sz w:val="20"/>
        </w:rPr>
        <w:t>DCR: Board Resolution</w:t>
      </w:r>
    </w:p>
    <w:p w14:paraId="00000002" w14:textId="77777777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9C1200">
        <w:rPr>
          <w:rFonts w:ascii="Arial" w:hAnsi="Arial" w:cs="Arial"/>
          <w:color w:val="010000"/>
          <w:sz w:val="20"/>
        </w:rPr>
        <w:t>Cosevco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Ceramic Tiles Joint Stock Company announced Resolution No. 15/NQ-HDQT on holding the Annual General Meeting of Shareholders 2024 as follows: </w:t>
      </w:r>
    </w:p>
    <w:p w14:paraId="00000003" w14:textId="77777777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‎‎Article 1. Agree on extending the time to hold the Annual General Meeting of Shareholders 2024 as follows:</w:t>
      </w:r>
    </w:p>
    <w:p w14:paraId="00000004" w14:textId="77777777" w:rsidR="00E20249" w:rsidRPr="009C1200" w:rsidRDefault="00A66590" w:rsidP="00A66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Extension time to hold the Annual General Meeting of Shareholders 2024 is before June 30, 2024.</w:t>
      </w:r>
    </w:p>
    <w:p w14:paraId="00000005" w14:textId="77777777" w:rsidR="00E20249" w:rsidRPr="009C1200" w:rsidRDefault="00A66590" w:rsidP="00A66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Reason: Some preparations for the meeting have not been completed.</w:t>
      </w:r>
    </w:p>
    <w:p w14:paraId="00000006" w14:textId="77777777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Article 2: Approve the plan to organize the Annual General Meeting of Shareholders 2024 as follows:</w:t>
      </w:r>
    </w:p>
    <w:p w14:paraId="00000007" w14:textId="36D7AB27" w:rsidR="00E20249" w:rsidRPr="009C1200" w:rsidRDefault="00A66590" w:rsidP="00A665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Exercise rate: 1:1 (01 share - 01 voting right</w:t>
      </w:r>
      <w:r w:rsidR="00647C21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9C1200">
        <w:rPr>
          <w:rFonts w:ascii="Arial" w:hAnsi="Arial" w:cs="Arial"/>
          <w:color w:val="010000"/>
          <w:sz w:val="20"/>
        </w:rPr>
        <w:t>)</w:t>
      </w:r>
    </w:p>
    <w:p w14:paraId="00000008" w14:textId="77777777" w:rsidR="00E20249" w:rsidRPr="009C1200" w:rsidRDefault="00A66590" w:rsidP="00A665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Meeting time: 8:30 </w:t>
      </w:r>
      <w:proofErr w:type="spellStart"/>
      <w:r w:rsidRPr="009C1200">
        <w:rPr>
          <w:rFonts w:ascii="Arial" w:hAnsi="Arial" w:cs="Arial"/>
          <w:color w:val="010000"/>
          <w:sz w:val="20"/>
        </w:rPr>
        <w:t>a.m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Friday, May 10, 2024.</w:t>
      </w:r>
    </w:p>
    <w:p w14:paraId="00000009" w14:textId="77777777" w:rsidR="00E20249" w:rsidRPr="009C1200" w:rsidRDefault="00A66590" w:rsidP="00A665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Methods: In person</w:t>
      </w:r>
    </w:p>
    <w:p w14:paraId="0000000A" w14:textId="77777777" w:rsidR="00E20249" w:rsidRPr="009C1200" w:rsidRDefault="00A66590" w:rsidP="00A665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Expected venue: </w:t>
      </w:r>
      <w:proofErr w:type="spellStart"/>
      <w:r w:rsidRPr="009C1200">
        <w:rPr>
          <w:rFonts w:ascii="Arial" w:hAnsi="Arial" w:cs="Arial"/>
          <w:color w:val="010000"/>
          <w:sz w:val="20"/>
        </w:rPr>
        <w:t>Cosevco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Ceramic Tiles Joint Stock Company, Highway 9, </w:t>
      </w:r>
      <w:proofErr w:type="spellStart"/>
      <w:r w:rsidRPr="009C1200">
        <w:rPr>
          <w:rFonts w:ascii="Arial" w:hAnsi="Arial" w:cs="Arial"/>
          <w:color w:val="010000"/>
          <w:sz w:val="20"/>
        </w:rPr>
        <w:t>Hoa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C1200">
        <w:rPr>
          <w:rFonts w:ascii="Arial" w:hAnsi="Arial" w:cs="Arial"/>
          <w:color w:val="010000"/>
          <w:sz w:val="20"/>
        </w:rPr>
        <w:t>Khanh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Industrial Zone, </w:t>
      </w:r>
      <w:proofErr w:type="spellStart"/>
      <w:r w:rsidRPr="009C1200">
        <w:rPr>
          <w:rFonts w:ascii="Arial" w:hAnsi="Arial" w:cs="Arial"/>
          <w:color w:val="010000"/>
          <w:sz w:val="20"/>
        </w:rPr>
        <w:t>Hoa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C1200">
        <w:rPr>
          <w:rFonts w:ascii="Arial" w:hAnsi="Arial" w:cs="Arial"/>
          <w:color w:val="010000"/>
          <w:sz w:val="20"/>
        </w:rPr>
        <w:t>Khanh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Bac Ward, Lien </w:t>
      </w:r>
      <w:proofErr w:type="spellStart"/>
      <w:r w:rsidRPr="009C1200">
        <w:rPr>
          <w:rFonts w:ascii="Arial" w:hAnsi="Arial" w:cs="Arial"/>
          <w:color w:val="010000"/>
          <w:sz w:val="20"/>
        </w:rPr>
        <w:t>Chieu</w:t>
      </w:r>
      <w:proofErr w:type="spellEnd"/>
      <w:r w:rsidRPr="009C1200">
        <w:rPr>
          <w:rFonts w:ascii="Arial" w:hAnsi="Arial" w:cs="Arial"/>
          <w:color w:val="010000"/>
          <w:sz w:val="20"/>
        </w:rPr>
        <w:t xml:space="preserve"> District, Da Nang City. In case the pandemic becomes complicated, if there is a change in the participation method and venue of the meeting, the Company will directly notify in Invitation Letter for shareholders attending the Meeting and on the Company's website.</w:t>
      </w:r>
    </w:p>
    <w:p w14:paraId="0000000B" w14:textId="77777777" w:rsidR="00E20249" w:rsidRPr="009C1200" w:rsidRDefault="00A66590" w:rsidP="00A665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Meeting contents:</w:t>
      </w:r>
    </w:p>
    <w:p w14:paraId="0000000C" w14:textId="3EDB2C40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Report of the Board of </w:t>
      </w:r>
      <w:r w:rsidR="009C1200" w:rsidRPr="009C1200">
        <w:rPr>
          <w:rFonts w:ascii="Arial" w:hAnsi="Arial" w:cs="Arial"/>
          <w:color w:val="010000"/>
          <w:sz w:val="20"/>
        </w:rPr>
        <w:t>Managers</w:t>
      </w:r>
      <w:r w:rsidRPr="009C1200">
        <w:rPr>
          <w:rFonts w:ascii="Arial" w:hAnsi="Arial" w:cs="Arial"/>
          <w:color w:val="010000"/>
          <w:sz w:val="20"/>
        </w:rPr>
        <w:t xml:space="preserve"> on production and business activities in 2023 and the plan for 2024.</w:t>
      </w:r>
    </w:p>
    <w:p w14:paraId="0000000D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Report on activities of the Board of Directors in 2023 and the plan for 2024.</w:t>
      </w:r>
    </w:p>
    <w:p w14:paraId="0000000E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Report on the activities of the Supervisory Board in 2023 and the operating plan for 2024.</w:t>
      </w:r>
    </w:p>
    <w:p w14:paraId="0000000F" w14:textId="2D164E1B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Audited </w:t>
      </w:r>
      <w:r w:rsidR="009C1200" w:rsidRPr="009C1200">
        <w:rPr>
          <w:rFonts w:ascii="Arial" w:hAnsi="Arial" w:cs="Arial"/>
          <w:color w:val="010000"/>
          <w:sz w:val="20"/>
        </w:rPr>
        <w:t>Financial Statements 20</w:t>
      </w:r>
      <w:r w:rsidRPr="009C1200">
        <w:rPr>
          <w:rFonts w:ascii="Arial" w:hAnsi="Arial" w:cs="Arial"/>
          <w:color w:val="010000"/>
          <w:sz w:val="20"/>
        </w:rPr>
        <w:t>23.</w:t>
      </w:r>
    </w:p>
    <w:p w14:paraId="00000010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Election of the Board of Directors and the Supervisory Board for the 2024-2029 term.</w:t>
      </w:r>
    </w:p>
    <w:p w14:paraId="00000011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Approval of the plan on profit distribution, appropriation for funds and dividend payment in 2023.</w:t>
      </w:r>
    </w:p>
    <w:p w14:paraId="00000012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Approval of the remuneration regime for the Board of Directors, the Supervisory Board and the Secretariat of the Company in 2024;</w:t>
      </w:r>
    </w:p>
    <w:p w14:paraId="00000013" w14:textId="290FA254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Approval of the selection of an audit company for the </w:t>
      </w:r>
      <w:r w:rsidR="009C1200" w:rsidRPr="009C1200">
        <w:rPr>
          <w:rFonts w:ascii="Arial" w:hAnsi="Arial" w:cs="Arial"/>
          <w:color w:val="010000"/>
          <w:sz w:val="20"/>
        </w:rPr>
        <w:t xml:space="preserve">Financial Statements </w:t>
      </w:r>
      <w:r w:rsidRPr="009C1200">
        <w:rPr>
          <w:rFonts w:ascii="Arial" w:hAnsi="Arial" w:cs="Arial"/>
          <w:color w:val="010000"/>
          <w:sz w:val="20"/>
        </w:rPr>
        <w:t>2024;</w:t>
      </w:r>
    </w:p>
    <w:p w14:paraId="00000014" w14:textId="77777777" w:rsidR="00E20249" w:rsidRPr="009C1200" w:rsidRDefault="00A66590" w:rsidP="00A665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>Other issues under the authority of the General Meeting of Shareholders.</w:t>
      </w:r>
    </w:p>
    <w:p w14:paraId="00000015" w14:textId="7A0A34BD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‎‎Article 3. Record date to exercise the rights </w:t>
      </w:r>
      <w:r w:rsidR="009C1200" w:rsidRPr="009C1200">
        <w:rPr>
          <w:rFonts w:ascii="Arial" w:hAnsi="Arial" w:cs="Arial"/>
          <w:color w:val="010000"/>
          <w:sz w:val="20"/>
        </w:rPr>
        <w:t>to attend</w:t>
      </w:r>
      <w:r w:rsidRPr="009C1200">
        <w:rPr>
          <w:rFonts w:ascii="Arial" w:hAnsi="Arial" w:cs="Arial"/>
          <w:color w:val="010000"/>
          <w:sz w:val="20"/>
        </w:rPr>
        <w:t xml:space="preserve"> the Annual General Meeting of Shareholders 2024: April 08, 2024.</w:t>
      </w:r>
    </w:p>
    <w:p w14:paraId="00000016" w14:textId="683AAA52" w:rsidR="00E20249" w:rsidRPr="009C1200" w:rsidRDefault="00A66590" w:rsidP="00A665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1200">
        <w:rPr>
          <w:rFonts w:ascii="Arial" w:hAnsi="Arial" w:cs="Arial"/>
          <w:color w:val="010000"/>
          <w:sz w:val="20"/>
        </w:rPr>
        <w:t xml:space="preserve">‎‎Article 4. This Resolution takes effect from the date of its signing. Members of the Board of Directors, </w:t>
      </w:r>
      <w:r w:rsidR="009C1200" w:rsidRPr="009C1200">
        <w:rPr>
          <w:rFonts w:ascii="Arial" w:hAnsi="Arial" w:cs="Arial"/>
          <w:color w:val="010000"/>
          <w:sz w:val="20"/>
        </w:rPr>
        <w:t xml:space="preserve">the </w:t>
      </w:r>
      <w:r w:rsidRPr="009C1200">
        <w:rPr>
          <w:rFonts w:ascii="Arial" w:hAnsi="Arial" w:cs="Arial"/>
          <w:color w:val="010000"/>
          <w:sz w:val="20"/>
        </w:rPr>
        <w:t xml:space="preserve">General Manager of the Company, relevant units and individuals are responsible for the </w:t>
      </w:r>
      <w:r w:rsidRPr="009C1200">
        <w:rPr>
          <w:rFonts w:ascii="Arial" w:hAnsi="Arial" w:cs="Arial"/>
          <w:color w:val="010000"/>
          <w:sz w:val="20"/>
        </w:rPr>
        <w:lastRenderedPageBreak/>
        <w:t>implementation of this Resolution./.</w:t>
      </w:r>
    </w:p>
    <w:sectPr w:rsidR="00E20249" w:rsidRPr="009C1200" w:rsidSect="00A665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A86"/>
    <w:multiLevelType w:val="multilevel"/>
    <w:tmpl w:val="8F88EC1A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E704F6"/>
    <w:multiLevelType w:val="multilevel"/>
    <w:tmpl w:val="363617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B05"/>
    <w:multiLevelType w:val="multilevel"/>
    <w:tmpl w:val="CA0471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82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49"/>
    <w:rsid w:val="00647C21"/>
    <w:rsid w:val="009C1200"/>
    <w:rsid w:val="00A66590"/>
    <w:rsid w:val="00E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5FC77"/>
  <w15:docId w15:val="{7AE4295C-0EAA-4AFA-884A-CD675E3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A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7" w:lineRule="auto"/>
      <w:jc w:val="center"/>
    </w:pPr>
    <w:rPr>
      <w:rFonts w:ascii="Times New Roman" w:eastAsia="Times New Roman" w:hAnsi="Times New Roman" w:cs="Times New Roman"/>
      <w:b/>
      <w:bCs/>
      <w:color w:val="29282A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aAnbPDl9lFaMg3tIIHJwFV2w0w==">CgMxLjA4AHIhMTBMT0tIM05GRHhEWGpWbkpheWQ3M0k0NEJoV1BYMnRM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2024-03-11T03:55:00Z</dcterms:created>
  <dcterms:modified xsi:type="dcterms:W3CDTF">2024-03-12T07:34:00Z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a566042785355552dd05b52fe48d03b98f596c3e4f69e21cc8bbaa88444cd82d</vt:lpwstr>
  </property>
</Properties>
</file>