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AC75" w14:textId="6A6B1EDF" w:rsidR="0006687B" w:rsidRPr="00CF18AD" w:rsidRDefault="00CF18AD" w:rsidP="003A04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F18AD">
        <w:rPr>
          <w:rFonts w:ascii="Arial" w:hAnsi="Arial" w:cs="Arial"/>
          <w:b/>
          <w:color w:val="010000"/>
          <w:sz w:val="20"/>
        </w:rPr>
        <w:t xml:space="preserve">FOC: Explanation on </w:t>
      </w:r>
      <w:bookmarkStart w:id="1" w:name="_GoBack"/>
      <w:bookmarkEnd w:id="1"/>
      <w:r w:rsidRPr="00CF18AD">
        <w:rPr>
          <w:rFonts w:ascii="Arial" w:hAnsi="Arial" w:cs="Arial"/>
          <w:b/>
          <w:color w:val="010000"/>
          <w:sz w:val="20"/>
        </w:rPr>
        <w:t>Financial Statements 2023</w:t>
      </w:r>
    </w:p>
    <w:p w14:paraId="656CEE3A" w14:textId="0DA101CC" w:rsidR="0006687B" w:rsidRPr="00CF18AD" w:rsidRDefault="00CF18AD" w:rsidP="003A04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 xml:space="preserve">On </w:t>
      </w:r>
      <w:r w:rsidR="00773C62" w:rsidRPr="00CF18AD">
        <w:rPr>
          <w:rFonts w:ascii="Arial" w:hAnsi="Arial" w:cs="Arial"/>
          <w:color w:val="010000"/>
          <w:sz w:val="20"/>
        </w:rPr>
        <w:t>February</w:t>
      </w:r>
      <w:r w:rsidRPr="00CF18AD">
        <w:rPr>
          <w:rFonts w:ascii="Arial" w:hAnsi="Arial" w:cs="Arial"/>
          <w:color w:val="010000"/>
          <w:sz w:val="20"/>
        </w:rPr>
        <w:t xml:space="preserve"> 28, 2024, FPT Online Joint Stock Company announced Official Dispatch No. 05-24/FO-FAF on explaining profit after tax changing more than 10% </w:t>
      </w:r>
      <w:r w:rsidR="003A0427">
        <w:rPr>
          <w:rFonts w:ascii="Arial" w:hAnsi="Arial" w:cs="Arial"/>
          <w:color w:val="010000"/>
          <w:sz w:val="20"/>
        </w:rPr>
        <w:t>year-on-year</w:t>
      </w:r>
      <w:r w:rsidRPr="00CF18AD">
        <w:rPr>
          <w:rFonts w:ascii="Arial" w:hAnsi="Arial" w:cs="Arial"/>
          <w:color w:val="010000"/>
          <w:sz w:val="20"/>
        </w:rPr>
        <w:t xml:space="preserve"> as follows:</w:t>
      </w:r>
    </w:p>
    <w:p w14:paraId="1EFC0C3A" w14:textId="77777777" w:rsidR="0006687B" w:rsidRPr="00CF18AD" w:rsidRDefault="00CF18AD" w:rsidP="003A0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According to the</w:t>
      </w:r>
      <w:r w:rsidR="00893E2C" w:rsidRPr="00CF18AD">
        <w:rPr>
          <w:rFonts w:ascii="Arial" w:hAnsi="Arial" w:cs="Arial"/>
          <w:color w:val="010000"/>
          <w:sz w:val="20"/>
        </w:rPr>
        <w:t xml:space="preserve"> </w:t>
      </w:r>
      <w:r w:rsidRPr="00CF18AD">
        <w:rPr>
          <w:rFonts w:ascii="Arial" w:hAnsi="Arial" w:cs="Arial"/>
          <w:color w:val="010000"/>
          <w:sz w:val="20"/>
        </w:rPr>
        <w:t>Financial Statements 2023, the results of production and business activities in 2023 decreased by more than 10% compared to that of 2022 as follows:</w:t>
      </w:r>
    </w:p>
    <w:p w14:paraId="466DC8CA" w14:textId="77777777" w:rsidR="0006687B" w:rsidRPr="00CF18AD" w:rsidRDefault="00CF18AD" w:rsidP="003A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Profit after tax in 2023: VND 117,385.18 million.</w:t>
      </w:r>
    </w:p>
    <w:p w14:paraId="7CBCBE4D" w14:textId="77777777" w:rsidR="0006687B" w:rsidRPr="00CF18AD" w:rsidRDefault="00CF18AD" w:rsidP="003A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Profit after tax in 2022: VND 247,407.58 million.</w:t>
      </w:r>
    </w:p>
    <w:p w14:paraId="6FDD96C4" w14:textId="77777777" w:rsidR="0006687B" w:rsidRPr="00CF18AD" w:rsidRDefault="00CF18AD" w:rsidP="003A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Difference (Decrease): VND 130,022.41 million.</w:t>
      </w:r>
    </w:p>
    <w:p w14:paraId="22EDD4B7" w14:textId="77777777" w:rsidR="0006687B" w:rsidRPr="00CF18AD" w:rsidRDefault="00CF18AD" w:rsidP="003A0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*Comparison table of revenue, cost and profit in 2023 compared to that of 2022:</w:t>
      </w:r>
    </w:p>
    <w:p w14:paraId="19063F88" w14:textId="77777777" w:rsidR="0006687B" w:rsidRPr="00CF18AD" w:rsidRDefault="00CF18AD" w:rsidP="00893E2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(Unit: Million VND)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0"/>
        <w:gridCol w:w="1619"/>
        <w:gridCol w:w="1623"/>
        <w:gridCol w:w="1385"/>
      </w:tblGrid>
      <w:tr w:rsidR="0006687B" w:rsidRPr="00CF18AD" w14:paraId="42F95877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01016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5E101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A200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D481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Difference (%)</w:t>
            </w:r>
          </w:p>
        </w:tc>
      </w:tr>
      <w:tr w:rsidR="0006687B" w:rsidRPr="00CF18AD" w14:paraId="762579CA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3B3F4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B98F7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619,958.48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882959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775,428.66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73192" w14:textId="72AA69CF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-155,470.18</w:t>
            </w:r>
          </w:p>
        </w:tc>
      </w:tr>
      <w:tr w:rsidR="0006687B" w:rsidRPr="00CF18AD" w14:paraId="25517A4D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E2CBA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Service cost price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6963E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352,180.81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E849E" w14:textId="23147E95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309</w:t>
            </w:r>
            <w:r w:rsidR="003A0427">
              <w:rPr>
                <w:rFonts w:ascii="Arial" w:hAnsi="Arial" w:cs="Arial"/>
                <w:color w:val="010000"/>
                <w:sz w:val="20"/>
              </w:rPr>
              <w:t>,</w:t>
            </w:r>
            <w:r w:rsidRPr="00CF18AD">
              <w:rPr>
                <w:rFonts w:ascii="Arial" w:hAnsi="Arial" w:cs="Arial"/>
                <w:color w:val="010000"/>
                <w:sz w:val="20"/>
              </w:rPr>
              <w:t>160.14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26ECD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43,020.66</w:t>
            </w:r>
          </w:p>
        </w:tc>
      </w:tr>
      <w:tr w:rsidR="0006687B" w:rsidRPr="00CF18AD" w14:paraId="5D9F0790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DAEEB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Financial revenue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C4A23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53,947.21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4CF3E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33,743.62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F7602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20,203.59</w:t>
            </w:r>
          </w:p>
        </w:tc>
      </w:tr>
      <w:tr w:rsidR="0006687B" w:rsidRPr="00CF18AD" w14:paraId="0C761F94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1FB2D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Total selling and general and administrative expenses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BB59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172,223.01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9228A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191,198.77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F06D7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-18,975.75</w:t>
            </w:r>
          </w:p>
        </w:tc>
      </w:tr>
      <w:tr w:rsidR="0006687B" w:rsidRPr="00CF18AD" w14:paraId="79B5F888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63075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Total accounting profit before tax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DBB1D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147,093.90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33BB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309,259.99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D71DC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-162,166.09</w:t>
            </w:r>
          </w:p>
        </w:tc>
      </w:tr>
      <w:tr w:rsidR="0006687B" w:rsidRPr="00CF18AD" w14:paraId="55DEEBD4" w14:textId="77777777" w:rsidTr="00893E2C">
        <w:tc>
          <w:tcPr>
            <w:tcW w:w="2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C8406" w14:textId="3D30CEC1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B584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117,385.18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D72E6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247,407.58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DDB9C" w14:textId="77777777" w:rsidR="0006687B" w:rsidRPr="00CF18AD" w:rsidRDefault="00CF18AD" w:rsidP="00893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F18AD">
              <w:rPr>
                <w:rFonts w:ascii="Arial" w:hAnsi="Arial" w:cs="Arial"/>
                <w:color w:val="010000"/>
                <w:sz w:val="20"/>
              </w:rPr>
              <w:t>-130,022.41</w:t>
            </w:r>
          </w:p>
        </w:tc>
      </w:tr>
    </w:tbl>
    <w:p w14:paraId="6409FD1A" w14:textId="77777777" w:rsidR="0006687B" w:rsidRPr="00CF18AD" w:rsidRDefault="00CF18AD" w:rsidP="003A04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>Reason for difference:</w:t>
      </w:r>
    </w:p>
    <w:p w14:paraId="6E3FCD85" w14:textId="77777777" w:rsidR="0006687B" w:rsidRPr="00CF18AD" w:rsidRDefault="00CF18AD" w:rsidP="003A0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18AD">
        <w:rPr>
          <w:rFonts w:ascii="Arial" w:hAnsi="Arial" w:cs="Arial"/>
          <w:color w:val="010000"/>
          <w:sz w:val="20"/>
        </w:rPr>
        <w:t xml:space="preserve">Compared to that of the same period in 2022, total net revenue decreased by VND 155,470.18 million; Cost of services increased by VND 43,020.66 million and total selling and general and administrative expenses </w:t>
      </w:r>
      <w:proofErr w:type="spellStart"/>
      <w:r w:rsidRPr="00CF18AD">
        <w:rPr>
          <w:rFonts w:ascii="Arial" w:hAnsi="Arial" w:cs="Arial"/>
          <w:color w:val="010000"/>
          <w:sz w:val="20"/>
        </w:rPr>
        <w:t>expenses</w:t>
      </w:r>
      <w:proofErr w:type="spellEnd"/>
      <w:r w:rsidRPr="00CF18AD">
        <w:rPr>
          <w:rFonts w:ascii="Arial" w:hAnsi="Arial" w:cs="Arial"/>
          <w:color w:val="010000"/>
          <w:sz w:val="20"/>
        </w:rPr>
        <w:t xml:space="preserve"> decreased by VND 18,975.75 million.</w:t>
      </w:r>
    </w:p>
    <w:p w14:paraId="20BC69EB" w14:textId="53154201" w:rsidR="0006687B" w:rsidRPr="00CF18AD" w:rsidRDefault="003A0427" w:rsidP="003A042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Given economic hardships in 2023, the C</w:t>
      </w:r>
      <w:r w:rsidR="00CF18AD" w:rsidRPr="00CF18AD">
        <w:rPr>
          <w:rFonts w:ascii="Arial" w:hAnsi="Arial" w:cs="Arial"/>
          <w:color w:val="010000"/>
          <w:sz w:val="20"/>
        </w:rPr>
        <w:t xml:space="preserve">ompany's revenue for the year was </w:t>
      </w:r>
      <w:r>
        <w:rPr>
          <w:rFonts w:ascii="Arial" w:hAnsi="Arial" w:cs="Arial"/>
          <w:color w:val="010000"/>
          <w:sz w:val="20"/>
        </w:rPr>
        <w:t>markedly</w:t>
      </w:r>
      <w:r w:rsidR="00CF18AD" w:rsidRPr="00CF18AD">
        <w:rPr>
          <w:rFonts w:ascii="Arial" w:hAnsi="Arial" w:cs="Arial"/>
          <w:color w:val="010000"/>
          <w:sz w:val="20"/>
        </w:rPr>
        <w:t xml:space="preserve"> affected, leading to a decrease in profit in 2023 </w:t>
      </w:r>
      <w:r>
        <w:rPr>
          <w:rFonts w:ascii="Arial" w:hAnsi="Arial" w:cs="Arial"/>
          <w:color w:val="010000"/>
          <w:sz w:val="20"/>
        </w:rPr>
        <w:t>year-on-year</w:t>
      </w:r>
      <w:r w:rsidR="00CF18AD" w:rsidRPr="00CF18AD">
        <w:rPr>
          <w:rFonts w:ascii="Arial" w:hAnsi="Arial" w:cs="Arial"/>
          <w:color w:val="010000"/>
          <w:sz w:val="20"/>
        </w:rPr>
        <w:t>.</w:t>
      </w:r>
    </w:p>
    <w:sectPr w:rsidR="0006687B" w:rsidRPr="00CF18AD" w:rsidSect="00893E2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1CCF"/>
    <w:multiLevelType w:val="multilevel"/>
    <w:tmpl w:val="E80231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B"/>
    <w:rsid w:val="0006687B"/>
    <w:rsid w:val="003A0427"/>
    <w:rsid w:val="00773C62"/>
    <w:rsid w:val="00893E2C"/>
    <w:rsid w:val="00A611FA"/>
    <w:rsid w:val="00C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5DC9"/>
  <w15:docId w15:val="{49F1E7F4-2AC7-4B31-A768-AEE08B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16" w:lineRule="auto"/>
      <w:ind w:firstLine="140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156" w:lineRule="auto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ZnEPLRTj9xuP29q/vGV5Dg9hfg==">CgMxLjAyCGguZ2pkZ3hzOAByITFBWmJJVzVLUDZxMWJDNFFzSFpiZkxPLW9RR1lwV083dg==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2024-03-11T09:40:00Z</dcterms:created>
  <dcterms:modified xsi:type="dcterms:W3CDTF">2024-03-11T09:40:00Z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cbaa196c120cf22baa1c80c375766e5a623ab21867f73d10741bee2c54206317</vt:lpwstr>
  </property>
</Properties>
</file>