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31EC6" w14:textId="77777777" w:rsidR="008365AF" w:rsidRPr="00434AF0" w:rsidRDefault="00E92F30" w:rsidP="0028279E">
      <w:pPr>
        <w:keepNext/>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r w:rsidRPr="00434AF0">
        <w:rPr>
          <w:rFonts w:ascii="Arial" w:hAnsi="Arial" w:cs="Arial"/>
          <w:b/>
          <w:bCs/>
          <w:color w:val="010000"/>
          <w:sz w:val="20"/>
        </w:rPr>
        <w:t>DL1:</w:t>
      </w:r>
      <w:r w:rsidRPr="00434AF0">
        <w:rPr>
          <w:rFonts w:ascii="Arial" w:hAnsi="Arial" w:cs="Arial"/>
          <w:b/>
          <w:color w:val="010000"/>
          <w:sz w:val="20"/>
        </w:rPr>
        <w:t xml:space="preserve"> Board Resolution</w:t>
      </w:r>
    </w:p>
    <w:p w14:paraId="12231EC7" w14:textId="77777777" w:rsidR="008365AF" w:rsidRPr="00434AF0" w:rsidRDefault="00E92F30" w:rsidP="0028279E">
      <w:pPr>
        <w:keepNext/>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34AF0">
        <w:rPr>
          <w:rFonts w:ascii="Arial" w:hAnsi="Arial" w:cs="Arial"/>
          <w:color w:val="010000"/>
          <w:sz w:val="20"/>
        </w:rPr>
        <w:t>On March 09, 2024, Alpha Seven Group Joint Stock Company announced Resolution No. 01/2024/NQ-HDQT on approving the policy of implementing contracts and transactions between the Company and enterprises, affiliated persons as foll</w:t>
      </w:r>
      <w:bookmarkStart w:id="0" w:name="_GoBack"/>
      <w:bookmarkEnd w:id="0"/>
      <w:r w:rsidRPr="00434AF0">
        <w:rPr>
          <w:rFonts w:ascii="Arial" w:hAnsi="Arial" w:cs="Arial"/>
          <w:color w:val="010000"/>
          <w:sz w:val="20"/>
        </w:rPr>
        <w:t>ows:</w:t>
      </w:r>
    </w:p>
    <w:p w14:paraId="12231EC8" w14:textId="6AF5663F" w:rsidR="008365AF" w:rsidRPr="00434AF0" w:rsidRDefault="00E92F30" w:rsidP="0028279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34AF0">
        <w:rPr>
          <w:rFonts w:ascii="Arial" w:hAnsi="Arial" w:cs="Arial"/>
          <w:color w:val="010000"/>
          <w:sz w:val="20"/>
        </w:rPr>
        <w:t>‎‎Article 1. Approve the policy of implementing contracts and transactions between Alpha Seven Group Joint Stock Company and enterprises, affiliated persons as prescribed in Clause 2, Article 164 and Clause 1, Article 167 of the Law on Enterprise</w:t>
      </w:r>
      <w:r w:rsidR="00115245" w:rsidRPr="00434AF0">
        <w:rPr>
          <w:rFonts w:ascii="Arial" w:hAnsi="Arial" w:cs="Arial"/>
          <w:color w:val="010000"/>
          <w:sz w:val="20"/>
        </w:rPr>
        <w:t>s</w:t>
      </w:r>
      <w:r w:rsidRPr="00434AF0">
        <w:rPr>
          <w:rFonts w:ascii="Arial" w:hAnsi="Arial" w:cs="Arial"/>
          <w:color w:val="010000"/>
          <w:sz w:val="20"/>
        </w:rPr>
        <w:t xml:space="preserve"> 2020 and the Company’s Charter, specifically as </w:t>
      </w:r>
      <w:r w:rsidR="00115245" w:rsidRPr="00434AF0">
        <w:rPr>
          <w:rFonts w:ascii="Arial" w:hAnsi="Arial" w:cs="Arial"/>
          <w:color w:val="010000"/>
          <w:sz w:val="20"/>
        </w:rPr>
        <w:t>follows</w:t>
      </w:r>
      <w:r w:rsidRPr="00434AF0">
        <w:rPr>
          <w:rFonts w:ascii="Arial" w:hAnsi="Arial" w:cs="Arial"/>
          <w:color w:val="010000"/>
          <w:sz w:val="20"/>
        </w:rPr>
        <w:t>:</w:t>
      </w:r>
    </w:p>
    <w:p w14:paraId="12231EC9" w14:textId="6360762C" w:rsidR="008365AF" w:rsidRPr="00434AF0" w:rsidRDefault="00E92F30" w:rsidP="0028279E">
      <w:pPr>
        <w:numPr>
          <w:ilvl w:val="0"/>
          <w:numId w:val="1"/>
        </w:numPr>
        <w:pBdr>
          <w:top w:val="nil"/>
          <w:left w:val="nil"/>
          <w:bottom w:val="nil"/>
          <w:right w:val="nil"/>
          <w:between w:val="nil"/>
        </w:pBdr>
        <w:tabs>
          <w:tab w:val="left" w:pos="450"/>
          <w:tab w:val="left" w:pos="978"/>
        </w:tabs>
        <w:spacing w:after="120" w:line="360" w:lineRule="auto"/>
        <w:jc w:val="both"/>
        <w:rPr>
          <w:rFonts w:ascii="Arial" w:hAnsi="Arial" w:cs="Arial"/>
          <w:color w:val="010000"/>
          <w:sz w:val="20"/>
          <w:szCs w:val="20"/>
        </w:rPr>
      </w:pPr>
      <w:r w:rsidRPr="00434AF0">
        <w:rPr>
          <w:rFonts w:ascii="Arial" w:hAnsi="Arial" w:cs="Arial"/>
          <w:color w:val="010000"/>
          <w:sz w:val="20"/>
        </w:rPr>
        <w:t>Enterprises with which the Company signs the transactions and contracts: accompanying list attached to this Resolution (the list will be updated according to the actual situation that arises);</w:t>
      </w:r>
    </w:p>
    <w:p w14:paraId="12231ECA" w14:textId="06A2566C" w:rsidR="008365AF" w:rsidRPr="00434AF0" w:rsidRDefault="00E92F30" w:rsidP="0028279E">
      <w:pPr>
        <w:numPr>
          <w:ilvl w:val="0"/>
          <w:numId w:val="1"/>
        </w:numPr>
        <w:pBdr>
          <w:top w:val="nil"/>
          <w:left w:val="nil"/>
          <w:bottom w:val="nil"/>
          <w:right w:val="nil"/>
          <w:between w:val="nil"/>
        </w:pBdr>
        <w:tabs>
          <w:tab w:val="left" w:pos="450"/>
          <w:tab w:val="left" w:pos="978"/>
        </w:tabs>
        <w:spacing w:after="120" w:line="360" w:lineRule="auto"/>
        <w:jc w:val="both"/>
        <w:rPr>
          <w:rFonts w:ascii="Arial" w:hAnsi="Arial" w:cs="Arial"/>
          <w:color w:val="010000"/>
          <w:sz w:val="20"/>
          <w:szCs w:val="20"/>
        </w:rPr>
      </w:pPr>
      <w:r w:rsidRPr="00434AF0">
        <w:rPr>
          <w:rFonts w:ascii="Arial" w:hAnsi="Arial" w:cs="Arial"/>
          <w:color w:val="010000"/>
          <w:sz w:val="20"/>
        </w:rPr>
        <w:t>Affiliated persons with which the Company signs the transactions and contracts: mentioned in the Corporate Governance Report 2023 and will be updated according to the actual situation that arises;</w:t>
      </w:r>
    </w:p>
    <w:p w14:paraId="12231ECB" w14:textId="77777777" w:rsidR="008365AF" w:rsidRPr="00434AF0" w:rsidRDefault="00E92F30" w:rsidP="0028279E">
      <w:pPr>
        <w:numPr>
          <w:ilvl w:val="0"/>
          <w:numId w:val="1"/>
        </w:numPr>
        <w:pBdr>
          <w:top w:val="nil"/>
          <w:left w:val="nil"/>
          <w:bottom w:val="nil"/>
          <w:right w:val="nil"/>
          <w:between w:val="nil"/>
        </w:pBdr>
        <w:tabs>
          <w:tab w:val="left" w:pos="450"/>
          <w:tab w:val="left" w:pos="978"/>
        </w:tabs>
        <w:spacing w:after="120" w:line="360" w:lineRule="auto"/>
        <w:jc w:val="both"/>
        <w:rPr>
          <w:rFonts w:ascii="Arial" w:hAnsi="Arial" w:cs="Arial"/>
          <w:color w:val="010000"/>
          <w:sz w:val="20"/>
          <w:szCs w:val="20"/>
        </w:rPr>
      </w:pPr>
      <w:r w:rsidRPr="00434AF0">
        <w:rPr>
          <w:rFonts w:ascii="Arial" w:hAnsi="Arial" w:cs="Arial"/>
          <w:color w:val="010000"/>
          <w:sz w:val="20"/>
        </w:rPr>
        <w:t>Contents of the contracts and transactions: Lease assets; buy and sell assets; lease and rent office and factory premises; construction and installation works; sell finished products; merchandise; purchase goods; receive services; borrow and lend; guarantee and receive loan guarantees; invest in project implementation and other transactions within the authority of the Board of Directors as stipulated in the Company's Charter and relevant legal regulations.</w:t>
      </w:r>
    </w:p>
    <w:p w14:paraId="12231ECC" w14:textId="6160A122" w:rsidR="008365AF" w:rsidRPr="00434AF0" w:rsidRDefault="00E92F30" w:rsidP="0028279E">
      <w:pPr>
        <w:numPr>
          <w:ilvl w:val="0"/>
          <w:numId w:val="1"/>
        </w:numPr>
        <w:pBdr>
          <w:top w:val="nil"/>
          <w:left w:val="nil"/>
          <w:bottom w:val="nil"/>
          <w:right w:val="nil"/>
          <w:between w:val="nil"/>
        </w:pBdr>
        <w:tabs>
          <w:tab w:val="left" w:pos="450"/>
          <w:tab w:val="left" w:pos="978"/>
        </w:tabs>
        <w:spacing w:after="120" w:line="360" w:lineRule="auto"/>
        <w:jc w:val="both"/>
        <w:rPr>
          <w:rFonts w:ascii="Arial" w:hAnsi="Arial" w:cs="Arial"/>
          <w:color w:val="010000"/>
          <w:sz w:val="20"/>
          <w:szCs w:val="20"/>
        </w:rPr>
      </w:pPr>
      <w:r w:rsidRPr="00434AF0">
        <w:rPr>
          <w:rFonts w:ascii="Arial" w:hAnsi="Arial" w:cs="Arial"/>
          <w:color w:val="010000"/>
          <w:sz w:val="20"/>
        </w:rPr>
        <w:t xml:space="preserve">Value of the contracts and transactions </w:t>
      </w:r>
      <w:r w:rsidR="00115245" w:rsidRPr="00434AF0">
        <w:rPr>
          <w:rFonts w:ascii="Arial" w:hAnsi="Arial" w:cs="Arial"/>
          <w:color w:val="010000"/>
          <w:sz w:val="20"/>
        </w:rPr>
        <w:t>is</w:t>
      </w:r>
      <w:r w:rsidRPr="00434AF0">
        <w:rPr>
          <w:rFonts w:ascii="Arial" w:hAnsi="Arial" w:cs="Arial"/>
          <w:color w:val="010000"/>
          <w:sz w:val="20"/>
        </w:rPr>
        <w:t xml:space="preserve"> less than 35% of the total value of the Company’s assets recorded in the latest </w:t>
      </w:r>
      <w:r w:rsidR="00115245" w:rsidRPr="00434AF0">
        <w:rPr>
          <w:rFonts w:ascii="Arial" w:hAnsi="Arial" w:cs="Arial"/>
          <w:color w:val="010000"/>
          <w:sz w:val="20"/>
        </w:rPr>
        <w:t>Financial Statements</w:t>
      </w:r>
      <w:r w:rsidRPr="00434AF0">
        <w:rPr>
          <w:rFonts w:ascii="Arial" w:hAnsi="Arial" w:cs="Arial"/>
          <w:color w:val="010000"/>
          <w:sz w:val="20"/>
        </w:rPr>
        <w:t>.</w:t>
      </w:r>
    </w:p>
    <w:p w14:paraId="12231ECD" w14:textId="77777777" w:rsidR="008365AF" w:rsidRPr="00434AF0" w:rsidRDefault="00E92F30" w:rsidP="0028279E">
      <w:pPr>
        <w:numPr>
          <w:ilvl w:val="0"/>
          <w:numId w:val="1"/>
        </w:numPr>
        <w:pBdr>
          <w:top w:val="nil"/>
          <w:left w:val="nil"/>
          <w:bottom w:val="nil"/>
          <w:right w:val="nil"/>
          <w:between w:val="nil"/>
        </w:pBdr>
        <w:tabs>
          <w:tab w:val="left" w:pos="450"/>
          <w:tab w:val="left" w:pos="974"/>
        </w:tabs>
        <w:spacing w:after="120" w:line="360" w:lineRule="auto"/>
        <w:jc w:val="both"/>
        <w:rPr>
          <w:rFonts w:ascii="Arial" w:hAnsi="Arial" w:cs="Arial"/>
          <w:color w:val="010000"/>
          <w:sz w:val="20"/>
          <w:szCs w:val="20"/>
        </w:rPr>
      </w:pPr>
      <w:r w:rsidRPr="00434AF0">
        <w:rPr>
          <w:rFonts w:ascii="Arial" w:hAnsi="Arial" w:cs="Arial"/>
          <w:color w:val="010000"/>
          <w:sz w:val="20"/>
        </w:rPr>
        <w:t>Effective period for implementation of transactions, contracts: From January 01, 2024 to December 31, 2024.</w:t>
      </w:r>
    </w:p>
    <w:p w14:paraId="12231ECE" w14:textId="23C9A052" w:rsidR="008365AF" w:rsidRPr="00434AF0" w:rsidRDefault="00E92F30" w:rsidP="0028279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34AF0">
        <w:rPr>
          <w:rFonts w:ascii="Arial" w:hAnsi="Arial" w:cs="Arial"/>
          <w:color w:val="010000"/>
          <w:sz w:val="20"/>
        </w:rPr>
        <w:t xml:space="preserve">‎‎Article 2. Agree on assigning the Board of Management of the Company to decide on the signing and execution of contracts and transactions between Alpha Seven Group Joint Stock Company </w:t>
      </w:r>
      <w:r w:rsidR="00115245" w:rsidRPr="00434AF0">
        <w:rPr>
          <w:rFonts w:ascii="Arial" w:hAnsi="Arial" w:cs="Arial"/>
          <w:color w:val="010000"/>
          <w:sz w:val="20"/>
        </w:rPr>
        <w:t>and affiliated</w:t>
      </w:r>
      <w:r w:rsidRPr="00434AF0">
        <w:rPr>
          <w:rFonts w:ascii="Arial" w:hAnsi="Arial" w:cs="Arial"/>
          <w:color w:val="010000"/>
          <w:sz w:val="20"/>
        </w:rPr>
        <w:t xml:space="preserve"> enterprises and persons in accordance with the legal regulations. Take responsibility before the law and the Board of Directors of the Company for the signing and performance of contracts and transactions.</w:t>
      </w:r>
    </w:p>
    <w:p w14:paraId="12231ECF" w14:textId="3F925C50" w:rsidR="008365AF" w:rsidRPr="00434AF0" w:rsidRDefault="00E92F30" w:rsidP="0028279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34AF0">
        <w:rPr>
          <w:rFonts w:ascii="Arial" w:hAnsi="Arial" w:cs="Arial"/>
          <w:color w:val="010000"/>
          <w:sz w:val="20"/>
        </w:rPr>
        <w:t xml:space="preserve">‎‎Article 3. This </w:t>
      </w:r>
      <w:r w:rsidR="00115245" w:rsidRPr="00434AF0">
        <w:rPr>
          <w:rFonts w:ascii="Arial" w:hAnsi="Arial" w:cs="Arial"/>
          <w:color w:val="010000"/>
          <w:sz w:val="20"/>
        </w:rPr>
        <w:t xml:space="preserve">Resolution </w:t>
      </w:r>
      <w:r w:rsidRPr="00434AF0">
        <w:rPr>
          <w:rFonts w:ascii="Arial" w:hAnsi="Arial" w:cs="Arial"/>
          <w:color w:val="010000"/>
          <w:sz w:val="20"/>
        </w:rPr>
        <w:t>takes effect from the date of its signing.</w:t>
      </w:r>
    </w:p>
    <w:p w14:paraId="12231ED0" w14:textId="77777777" w:rsidR="008365AF" w:rsidRPr="00434AF0" w:rsidRDefault="00E92F30" w:rsidP="0028279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434AF0">
        <w:rPr>
          <w:rFonts w:ascii="Arial" w:hAnsi="Arial" w:cs="Arial"/>
          <w:color w:val="010000"/>
          <w:sz w:val="20"/>
        </w:rPr>
        <w:t>Members of the Board of Directors, the Supervisory Board, the Board of Management, specialized Departments of the Company, and relevant individuals are responsible for implementing this Resolution./.</w:t>
      </w:r>
    </w:p>
    <w:sectPr w:rsidR="008365AF" w:rsidRPr="00434AF0" w:rsidSect="00E92F3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617D8"/>
    <w:multiLevelType w:val="multilevel"/>
    <w:tmpl w:val="EB468D6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AF"/>
    <w:rsid w:val="00115245"/>
    <w:rsid w:val="0028279E"/>
    <w:rsid w:val="00434AF0"/>
    <w:rsid w:val="008365AF"/>
    <w:rsid w:val="00BD7C16"/>
    <w:rsid w:val="00E92F3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31EC6"/>
  <w15:docId w15:val="{D33457B6-874A-438C-8632-8DF8E0A3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0"/>
      <w:szCs w:val="20"/>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paragraph" w:customStyle="1" w:styleId="Heading11">
    <w:name w:val="Heading #1"/>
    <w:basedOn w:val="Normal"/>
    <w:link w:val="Heading10"/>
    <w:pPr>
      <w:spacing w:line="293" w:lineRule="auto"/>
      <w:jc w:val="center"/>
      <w:outlineLvl w:val="0"/>
    </w:pPr>
    <w:rPr>
      <w:rFonts w:ascii="Times New Roman" w:eastAsia="Times New Roman" w:hAnsi="Times New Roman" w:cs="Times New Roman"/>
      <w:b/>
      <w:bCs/>
    </w:rPr>
  </w:style>
  <w:style w:type="paragraph" w:styleId="BodyText">
    <w:name w:val="Body Text"/>
    <w:basedOn w:val="Normal"/>
    <w:link w:val="BodyTextChar"/>
    <w:qFormat/>
    <w:pPr>
      <w:spacing w:line="298" w:lineRule="auto"/>
      <w:ind w:firstLine="400"/>
    </w:pPr>
    <w:rPr>
      <w:rFonts w:ascii="Times New Roman" w:eastAsia="Times New Roman" w:hAnsi="Times New Roman" w:cs="Times New Roman"/>
    </w:rPr>
  </w:style>
  <w:style w:type="paragraph" w:customStyle="1" w:styleId="Bodytext40">
    <w:name w:val="Body text (4)"/>
    <w:basedOn w:val="Normal"/>
    <w:link w:val="Bodytext4"/>
    <w:pPr>
      <w:spacing w:line="350" w:lineRule="auto"/>
      <w:ind w:left="90" w:hanging="90"/>
    </w:pPr>
    <w:rPr>
      <w:rFonts w:ascii="Times New Roman" w:eastAsia="Times New Roman" w:hAnsi="Times New Roman" w:cs="Times New Roman"/>
      <w:i/>
      <w:iCs/>
      <w:sz w:val="20"/>
      <w:szCs w:val="20"/>
    </w:rPr>
  </w:style>
  <w:style w:type="paragraph" w:customStyle="1" w:styleId="Bodytext50">
    <w:name w:val="Body text (5)"/>
    <w:basedOn w:val="Normal"/>
    <w:link w:val="Bodytext5"/>
    <w:pPr>
      <w:ind w:firstLine="180"/>
    </w:pPr>
    <w:rPr>
      <w:rFonts w:ascii="Arial" w:eastAsia="Arial" w:hAnsi="Arial" w:cs="Arial"/>
      <w:sz w:val="22"/>
      <w:szCs w:val="22"/>
    </w:rPr>
  </w:style>
  <w:style w:type="paragraph" w:customStyle="1" w:styleId="Bodytext20">
    <w:name w:val="Body text (2)"/>
    <w:basedOn w:val="Normal"/>
    <w:link w:val="Bodytext2"/>
    <w:rPr>
      <w:rFonts w:ascii="Arial" w:eastAsia="Arial" w:hAnsi="Arial" w:cs="Arial"/>
      <w:b/>
      <w:bCs/>
      <w:sz w:val="8"/>
      <w:szCs w:val="8"/>
    </w:rPr>
  </w:style>
  <w:style w:type="paragraph" w:customStyle="1" w:styleId="Bodytext30">
    <w:name w:val="Body text (3)"/>
    <w:basedOn w:val="Normal"/>
    <w:link w:val="Bodytext3"/>
    <w:pPr>
      <w:spacing w:line="286" w:lineRule="auto"/>
      <w:ind w:firstLine="380"/>
    </w:pPr>
    <w:rPr>
      <w:rFonts w:ascii="Times New Roman" w:eastAsia="Times New Roman" w:hAnsi="Times New Roman" w:cs="Times New Roman"/>
      <w:b/>
      <w:bCs/>
      <w:sz w:val="28"/>
      <w:szCs w:val="28"/>
    </w:rPr>
  </w:style>
  <w:style w:type="paragraph" w:customStyle="1" w:styleId="Other0">
    <w:name w:val="Other"/>
    <w:basedOn w:val="Normal"/>
    <w:link w:val="Other"/>
    <w:pPr>
      <w:spacing w:line="298" w:lineRule="auto"/>
      <w:ind w:firstLine="40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R3NmFrRmmZd/FGK1tFqtivUMsQ==">CgMxLjA4AHIhMU40TzMtbzhlNHMtbWFYS1ptY19ZYjJSUDBLVVU0RXps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2024-03-12T03:36:00Z</dcterms:created>
  <dcterms:modified xsi:type="dcterms:W3CDTF">2024-03-13T09:20:00Z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789d4f797dac48a261686ddb2eb4701e1b833410d1ec4cdd5c39bc23f15c5a5c</vt:lpwstr>
  </property>
</Properties>
</file>