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80563" w:rsidRPr="002E16A2" w:rsidRDefault="00882855" w:rsidP="00882855">
      <w:pPr>
        <w:pBdr>
          <w:top w:val="nil"/>
          <w:left w:val="nil"/>
          <w:bottom w:val="nil"/>
          <w:right w:val="nil"/>
          <w:between w:val="nil"/>
        </w:pBdr>
        <w:tabs>
          <w:tab w:val="left" w:pos="432"/>
          <w:tab w:val="left" w:pos="3916"/>
        </w:tabs>
        <w:spacing w:after="120" w:line="360" w:lineRule="auto"/>
        <w:rPr>
          <w:rFonts w:ascii="Arial" w:eastAsia="Arial" w:hAnsi="Arial" w:cs="Arial"/>
          <w:b/>
          <w:color w:val="010000"/>
          <w:sz w:val="20"/>
          <w:szCs w:val="20"/>
        </w:rPr>
      </w:pPr>
      <w:r w:rsidRPr="002E16A2">
        <w:rPr>
          <w:rFonts w:ascii="Arial" w:hAnsi="Arial" w:cs="Arial"/>
          <w:b/>
          <w:color w:val="010000"/>
          <w:sz w:val="20"/>
        </w:rPr>
        <w:t>DWC: Board Resolution</w:t>
      </w:r>
    </w:p>
    <w:p w14:paraId="00000002" w14:textId="4EA7E6AA" w:rsidR="00280563" w:rsidRPr="002E16A2" w:rsidRDefault="00882855" w:rsidP="00882855">
      <w:pPr>
        <w:pBdr>
          <w:top w:val="nil"/>
          <w:left w:val="nil"/>
          <w:bottom w:val="nil"/>
          <w:right w:val="nil"/>
          <w:between w:val="nil"/>
        </w:pBdr>
        <w:tabs>
          <w:tab w:val="left" w:pos="432"/>
          <w:tab w:val="left" w:pos="3916"/>
        </w:tabs>
        <w:spacing w:after="120" w:line="360" w:lineRule="auto"/>
        <w:rPr>
          <w:rFonts w:ascii="Arial" w:eastAsia="Arial" w:hAnsi="Arial" w:cs="Arial"/>
          <w:color w:val="010000"/>
          <w:sz w:val="20"/>
          <w:szCs w:val="20"/>
        </w:rPr>
      </w:pPr>
      <w:r w:rsidRPr="002E16A2">
        <w:rPr>
          <w:rFonts w:ascii="Arial" w:hAnsi="Arial" w:cs="Arial"/>
          <w:color w:val="010000"/>
          <w:sz w:val="20"/>
        </w:rPr>
        <w:t xml:space="preserve">On March 9, 2024, </w:t>
      </w:r>
      <w:proofErr w:type="spellStart"/>
      <w:r w:rsidRPr="002E16A2">
        <w:rPr>
          <w:rFonts w:ascii="Arial" w:hAnsi="Arial" w:cs="Arial"/>
          <w:color w:val="010000"/>
          <w:sz w:val="20"/>
        </w:rPr>
        <w:t>DakLak</w:t>
      </w:r>
      <w:proofErr w:type="spellEnd"/>
      <w:r w:rsidRPr="002E16A2">
        <w:rPr>
          <w:rFonts w:ascii="Arial" w:hAnsi="Arial" w:cs="Arial"/>
          <w:color w:val="010000"/>
          <w:sz w:val="20"/>
        </w:rPr>
        <w:t xml:space="preserve"> Water Supply Joint Stock Company announced Resolution No. 06/2024/NQ-HDQT on approving the plan to elect members of the Board of Directors and Supervisory Board in the term of 2024-2028 as follows:</w:t>
      </w:r>
    </w:p>
    <w:p w14:paraId="00000003" w14:textId="3CAA88D0" w:rsidR="00280563" w:rsidRPr="00E9058E" w:rsidRDefault="00882855" w:rsidP="00882855">
      <w:pPr>
        <w:pBdr>
          <w:top w:val="nil"/>
          <w:left w:val="nil"/>
          <w:bottom w:val="nil"/>
          <w:right w:val="nil"/>
          <w:between w:val="nil"/>
        </w:pBdr>
        <w:tabs>
          <w:tab w:val="left" w:pos="432"/>
        </w:tabs>
        <w:spacing w:after="120" w:line="360" w:lineRule="auto"/>
        <w:rPr>
          <w:rFonts w:ascii="Arial" w:hAnsi="Arial" w:cs="Arial"/>
          <w:color w:val="010000"/>
          <w:sz w:val="20"/>
        </w:rPr>
      </w:pPr>
      <w:r w:rsidRPr="002E16A2">
        <w:rPr>
          <w:rFonts w:ascii="Arial" w:hAnsi="Arial" w:cs="Arial"/>
          <w:color w:val="010000"/>
          <w:sz w:val="20"/>
        </w:rPr>
        <w:t>‎‎Article 1.</w:t>
      </w:r>
      <w:r w:rsidR="00E9058E">
        <w:rPr>
          <w:rFonts w:ascii="Arial" w:hAnsi="Arial" w:cs="Arial"/>
          <w:color w:val="010000"/>
          <w:sz w:val="20"/>
        </w:rPr>
        <w:t xml:space="preserve"> </w:t>
      </w:r>
      <w:r w:rsidRPr="002E16A2">
        <w:rPr>
          <w:rFonts w:ascii="Arial" w:hAnsi="Arial" w:cs="Arial"/>
          <w:color w:val="010000"/>
          <w:sz w:val="20"/>
        </w:rPr>
        <w:t>The Company's Board of Directors approved the plan to elect members of the Board of Directors and Supervisory Board in the term of 2024-2028:</w:t>
      </w:r>
    </w:p>
    <w:p w14:paraId="00000004" w14:textId="77777777" w:rsidR="00280563" w:rsidRPr="002E16A2" w:rsidRDefault="00882855" w:rsidP="00882855">
      <w:pPr>
        <w:numPr>
          <w:ilvl w:val="0"/>
          <w:numId w:val="1"/>
        </w:numPr>
        <w:pBdr>
          <w:top w:val="nil"/>
          <w:left w:val="nil"/>
          <w:bottom w:val="nil"/>
          <w:right w:val="nil"/>
          <w:between w:val="nil"/>
        </w:pBdr>
        <w:tabs>
          <w:tab w:val="left" w:pos="432"/>
          <w:tab w:val="left" w:pos="958"/>
        </w:tabs>
        <w:spacing w:after="120" w:line="360" w:lineRule="auto"/>
        <w:rPr>
          <w:rFonts w:ascii="Arial" w:eastAsia="Arial" w:hAnsi="Arial" w:cs="Arial"/>
          <w:color w:val="010000"/>
          <w:sz w:val="20"/>
          <w:szCs w:val="20"/>
        </w:rPr>
      </w:pPr>
      <w:r w:rsidRPr="002E16A2">
        <w:rPr>
          <w:rFonts w:ascii="Arial" w:hAnsi="Arial" w:cs="Arial"/>
          <w:color w:val="010000"/>
          <w:sz w:val="20"/>
        </w:rPr>
        <w:t>Criteria for nomination and candidacy for the Board of Directors and Supervisory Board:</w:t>
      </w:r>
    </w:p>
    <w:p w14:paraId="00000005" w14:textId="77777777" w:rsidR="00280563" w:rsidRPr="002E16A2" w:rsidRDefault="00882855" w:rsidP="00882855">
      <w:pPr>
        <w:numPr>
          <w:ilvl w:val="0"/>
          <w:numId w:val="2"/>
        </w:numPr>
        <w:pBdr>
          <w:top w:val="nil"/>
          <w:left w:val="nil"/>
          <w:bottom w:val="nil"/>
          <w:right w:val="nil"/>
          <w:between w:val="nil"/>
        </w:pBdr>
        <w:tabs>
          <w:tab w:val="left" w:pos="432"/>
          <w:tab w:val="left" w:pos="838"/>
        </w:tabs>
        <w:spacing w:after="120" w:line="360" w:lineRule="auto"/>
        <w:rPr>
          <w:rFonts w:ascii="Arial" w:eastAsia="Arial" w:hAnsi="Arial" w:cs="Arial"/>
          <w:color w:val="010000"/>
          <w:sz w:val="20"/>
          <w:szCs w:val="20"/>
        </w:rPr>
      </w:pPr>
      <w:r w:rsidRPr="002E16A2">
        <w:rPr>
          <w:rFonts w:ascii="Arial" w:hAnsi="Arial" w:cs="Arial"/>
          <w:color w:val="010000"/>
          <w:sz w:val="20"/>
        </w:rPr>
        <w:t>Criteria for nomination and candidacy for the Board of Directors are implemented in accordance with the provisions of Clause 1, Article 155 of the Law on Enterprises 2020.</w:t>
      </w:r>
    </w:p>
    <w:p w14:paraId="00000006" w14:textId="77777777" w:rsidR="00280563" w:rsidRPr="002E16A2" w:rsidRDefault="00882855" w:rsidP="00882855">
      <w:pPr>
        <w:numPr>
          <w:ilvl w:val="0"/>
          <w:numId w:val="2"/>
        </w:numPr>
        <w:pBdr>
          <w:top w:val="nil"/>
          <w:left w:val="nil"/>
          <w:bottom w:val="nil"/>
          <w:right w:val="nil"/>
          <w:between w:val="nil"/>
        </w:pBdr>
        <w:tabs>
          <w:tab w:val="left" w:pos="432"/>
          <w:tab w:val="left" w:pos="838"/>
        </w:tabs>
        <w:spacing w:after="120" w:line="360" w:lineRule="auto"/>
        <w:rPr>
          <w:rFonts w:ascii="Arial" w:eastAsia="Arial" w:hAnsi="Arial" w:cs="Arial"/>
          <w:color w:val="010000"/>
          <w:sz w:val="20"/>
          <w:szCs w:val="20"/>
        </w:rPr>
      </w:pPr>
      <w:r w:rsidRPr="002E16A2">
        <w:rPr>
          <w:rFonts w:ascii="Arial" w:hAnsi="Arial" w:cs="Arial"/>
          <w:color w:val="010000"/>
          <w:sz w:val="20"/>
        </w:rPr>
        <w:t>Criteria for nomination and candidacy for the Supervisory Board are implemented in accordance with the provisions of Article 169 of the Law on Enterprises 2020.</w:t>
      </w:r>
    </w:p>
    <w:p w14:paraId="00000007" w14:textId="77777777" w:rsidR="00280563" w:rsidRPr="002E16A2" w:rsidRDefault="00882855" w:rsidP="00882855">
      <w:pPr>
        <w:numPr>
          <w:ilvl w:val="0"/>
          <w:numId w:val="1"/>
        </w:numPr>
        <w:pBdr>
          <w:top w:val="nil"/>
          <w:left w:val="nil"/>
          <w:bottom w:val="nil"/>
          <w:right w:val="nil"/>
          <w:between w:val="nil"/>
        </w:pBdr>
        <w:tabs>
          <w:tab w:val="left" w:pos="432"/>
          <w:tab w:val="left" w:pos="967"/>
        </w:tabs>
        <w:spacing w:after="120" w:line="360" w:lineRule="auto"/>
        <w:rPr>
          <w:rFonts w:ascii="Arial" w:eastAsia="Arial" w:hAnsi="Arial" w:cs="Arial"/>
          <w:color w:val="010000"/>
          <w:sz w:val="20"/>
          <w:szCs w:val="20"/>
        </w:rPr>
      </w:pPr>
      <w:r w:rsidRPr="002E16A2">
        <w:rPr>
          <w:rFonts w:ascii="Arial" w:hAnsi="Arial" w:cs="Arial"/>
          <w:color w:val="010000"/>
          <w:sz w:val="20"/>
        </w:rPr>
        <w:t>Criteria for nomination and candidacy for the Board of Directors and Supervisory Board:</w:t>
      </w:r>
    </w:p>
    <w:p w14:paraId="00000008" w14:textId="77777777" w:rsidR="00280563" w:rsidRPr="002E16A2" w:rsidRDefault="00882855" w:rsidP="0088285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16A2">
        <w:rPr>
          <w:rFonts w:ascii="Arial" w:hAnsi="Arial" w:cs="Arial"/>
          <w:color w:val="010000"/>
          <w:sz w:val="20"/>
        </w:rPr>
        <w:t>Shareholders or groups of shareholders owning 10% of total common shares or more have the right to nominate candidates to elect additional members of the Board of Directors, the Supervisory Board: Nomination of members to the Board of Directors and Supervisory Board is carried out in accordance with the provisions of the Regulations on nomination - candidacy - election of members of the Board of Directors and the Supervisory Board in the term of 2024-2028 (Draft attached).</w:t>
      </w:r>
    </w:p>
    <w:p w14:paraId="00000009" w14:textId="7DCF66BE" w:rsidR="00280563" w:rsidRPr="002E16A2" w:rsidRDefault="00882855" w:rsidP="00882855">
      <w:pPr>
        <w:numPr>
          <w:ilvl w:val="0"/>
          <w:numId w:val="1"/>
        </w:numPr>
        <w:pBdr>
          <w:top w:val="nil"/>
          <w:left w:val="nil"/>
          <w:bottom w:val="nil"/>
          <w:right w:val="nil"/>
          <w:between w:val="nil"/>
        </w:pBdr>
        <w:tabs>
          <w:tab w:val="left" w:pos="432"/>
          <w:tab w:val="left" w:pos="967"/>
        </w:tabs>
        <w:spacing w:after="120" w:line="360" w:lineRule="auto"/>
        <w:rPr>
          <w:rFonts w:ascii="Arial" w:eastAsia="Arial" w:hAnsi="Arial" w:cs="Arial"/>
          <w:color w:val="010000"/>
          <w:sz w:val="20"/>
          <w:szCs w:val="20"/>
        </w:rPr>
      </w:pPr>
      <w:r w:rsidRPr="002E16A2">
        <w:rPr>
          <w:rFonts w:ascii="Arial" w:hAnsi="Arial" w:cs="Arial"/>
          <w:color w:val="010000"/>
          <w:sz w:val="20"/>
        </w:rPr>
        <w:t xml:space="preserve">Nomination and candidacy dossiers for the Board of Directors and Supervisory Board: </w:t>
      </w:r>
    </w:p>
    <w:p w14:paraId="0000000A" w14:textId="77777777" w:rsidR="00280563" w:rsidRPr="002E16A2" w:rsidRDefault="00882855" w:rsidP="0088285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16A2">
        <w:rPr>
          <w:rFonts w:ascii="Arial" w:hAnsi="Arial" w:cs="Arial"/>
          <w:color w:val="010000"/>
          <w:sz w:val="20"/>
        </w:rPr>
        <w:t>Dossier for nomination and candidacy for the Board of Directors and Supervisory Board includes:</w:t>
      </w:r>
    </w:p>
    <w:p w14:paraId="0000000B" w14:textId="77777777" w:rsidR="00280563" w:rsidRPr="002E16A2" w:rsidRDefault="00882855" w:rsidP="00882855">
      <w:pPr>
        <w:numPr>
          <w:ilvl w:val="0"/>
          <w:numId w:val="2"/>
        </w:numPr>
        <w:pBdr>
          <w:top w:val="nil"/>
          <w:left w:val="nil"/>
          <w:bottom w:val="nil"/>
          <w:right w:val="nil"/>
          <w:between w:val="nil"/>
        </w:pBdr>
        <w:tabs>
          <w:tab w:val="left" w:pos="432"/>
          <w:tab w:val="left" w:pos="847"/>
        </w:tabs>
        <w:spacing w:after="120" w:line="360" w:lineRule="auto"/>
        <w:rPr>
          <w:rFonts w:ascii="Arial" w:eastAsia="Arial" w:hAnsi="Arial" w:cs="Arial"/>
          <w:color w:val="010000"/>
          <w:sz w:val="20"/>
          <w:szCs w:val="20"/>
        </w:rPr>
      </w:pPr>
      <w:r w:rsidRPr="002E16A2">
        <w:rPr>
          <w:rFonts w:ascii="Arial" w:hAnsi="Arial" w:cs="Arial"/>
          <w:color w:val="010000"/>
          <w:sz w:val="20"/>
        </w:rPr>
        <w:t>Candidate and nomination forms to join the Board of Directors and Supervisory Board in the term of 2024-2028 (provided template);</w:t>
      </w:r>
    </w:p>
    <w:p w14:paraId="0000000C" w14:textId="77777777" w:rsidR="00280563" w:rsidRPr="002E16A2" w:rsidRDefault="00882855" w:rsidP="00882855">
      <w:pPr>
        <w:numPr>
          <w:ilvl w:val="0"/>
          <w:numId w:val="2"/>
        </w:numPr>
        <w:pBdr>
          <w:top w:val="nil"/>
          <w:left w:val="nil"/>
          <w:bottom w:val="nil"/>
          <w:right w:val="nil"/>
          <w:between w:val="nil"/>
        </w:pBdr>
        <w:tabs>
          <w:tab w:val="left" w:pos="432"/>
          <w:tab w:val="left" w:pos="847"/>
        </w:tabs>
        <w:spacing w:after="120" w:line="360" w:lineRule="auto"/>
        <w:rPr>
          <w:rFonts w:ascii="Arial" w:eastAsia="Arial" w:hAnsi="Arial" w:cs="Arial"/>
          <w:color w:val="010000"/>
          <w:sz w:val="20"/>
          <w:szCs w:val="20"/>
        </w:rPr>
      </w:pPr>
      <w:r w:rsidRPr="002E16A2">
        <w:rPr>
          <w:rFonts w:ascii="Arial" w:hAnsi="Arial" w:cs="Arial"/>
          <w:color w:val="010000"/>
          <w:sz w:val="20"/>
        </w:rPr>
        <w:t>Candidate's self-declared curriculum vitae (provided template);</w:t>
      </w:r>
    </w:p>
    <w:p w14:paraId="0000000D" w14:textId="7DF381C9" w:rsidR="00280563" w:rsidRPr="002E16A2" w:rsidRDefault="00882855" w:rsidP="00882855">
      <w:pPr>
        <w:numPr>
          <w:ilvl w:val="0"/>
          <w:numId w:val="2"/>
        </w:numPr>
        <w:pBdr>
          <w:top w:val="nil"/>
          <w:left w:val="nil"/>
          <w:bottom w:val="nil"/>
          <w:right w:val="nil"/>
          <w:between w:val="nil"/>
        </w:pBdr>
        <w:tabs>
          <w:tab w:val="left" w:pos="432"/>
          <w:tab w:val="left" w:pos="838"/>
        </w:tabs>
        <w:spacing w:after="120" w:line="360" w:lineRule="auto"/>
        <w:rPr>
          <w:rFonts w:ascii="Arial" w:eastAsia="Arial" w:hAnsi="Arial" w:cs="Arial"/>
          <w:color w:val="010000"/>
          <w:sz w:val="20"/>
          <w:szCs w:val="20"/>
        </w:rPr>
      </w:pPr>
      <w:r w:rsidRPr="002E16A2">
        <w:rPr>
          <w:rFonts w:ascii="Arial" w:hAnsi="Arial" w:cs="Arial"/>
          <w:color w:val="010000"/>
          <w:sz w:val="20"/>
        </w:rPr>
        <w:t xml:space="preserve">Identification documents, relevant professional qualifications certificates (notarized copies </w:t>
      </w:r>
      <w:r w:rsidR="002E16A2" w:rsidRPr="002E16A2">
        <w:rPr>
          <w:rFonts w:ascii="Arial" w:hAnsi="Arial" w:cs="Arial"/>
          <w:color w:val="010000"/>
          <w:sz w:val="20"/>
        </w:rPr>
        <w:t xml:space="preserve">that </w:t>
      </w:r>
      <w:r w:rsidRPr="002E16A2">
        <w:rPr>
          <w:rFonts w:ascii="Arial" w:hAnsi="Arial" w:cs="Arial"/>
          <w:color w:val="010000"/>
          <w:sz w:val="20"/>
        </w:rPr>
        <w:t>are still valid);</w:t>
      </w:r>
    </w:p>
    <w:p w14:paraId="0000000E" w14:textId="77777777" w:rsidR="00280563" w:rsidRPr="002E16A2" w:rsidRDefault="00882855" w:rsidP="00882855">
      <w:pPr>
        <w:keepNext/>
        <w:numPr>
          <w:ilvl w:val="0"/>
          <w:numId w:val="1"/>
        </w:numPr>
        <w:pBdr>
          <w:top w:val="nil"/>
          <w:left w:val="nil"/>
          <w:bottom w:val="nil"/>
          <w:right w:val="nil"/>
          <w:between w:val="nil"/>
        </w:pBdr>
        <w:tabs>
          <w:tab w:val="left" w:pos="432"/>
          <w:tab w:val="left" w:pos="987"/>
        </w:tabs>
        <w:spacing w:after="120" w:line="360" w:lineRule="auto"/>
        <w:rPr>
          <w:rFonts w:ascii="Arial" w:eastAsia="Arial" w:hAnsi="Arial" w:cs="Arial"/>
          <w:color w:val="010000"/>
          <w:sz w:val="20"/>
          <w:szCs w:val="20"/>
        </w:rPr>
      </w:pPr>
      <w:r w:rsidRPr="002E16A2">
        <w:rPr>
          <w:rFonts w:ascii="Arial" w:hAnsi="Arial" w:cs="Arial"/>
          <w:color w:val="010000"/>
          <w:sz w:val="20"/>
        </w:rPr>
        <w:t>Deadline and address for sending nomination and candidacy dossiers:</w:t>
      </w:r>
    </w:p>
    <w:p w14:paraId="0000000F" w14:textId="49372EEB" w:rsidR="00280563" w:rsidRPr="002E16A2" w:rsidRDefault="00882855" w:rsidP="0088285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16A2">
        <w:rPr>
          <w:rFonts w:ascii="Arial" w:hAnsi="Arial" w:cs="Arial"/>
          <w:color w:val="010000"/>
          <w:sz w:val="20"/>
        </w:rPr>
        <w:t>Shareholders or groups of shareholders who are eligible for candidacy and nomination are requested to submit written nominations or self-nominations for candidates meeting the criteria for the Board of Directors and Supervisory Board to the Company before 5:00 p.m. on April 8, 2024 (postmark time) to complete procedures according to regulations. Submit dossiers to the Company at the following address:</w:t>
      </w:r>
    </w:p>
    <w:p w14:paraId="00000010" w14:textId="77777777" w:rsidR="00280563" w:rsidRPr="002E16A2" w:rsidRDefault="00882855" w:rsidP="00882855">
      <w:pPr>
        <w:numPr>
          <w:ilvl w:val="0"/>
          <w:numId w:val="2"/>
        </w:numPr>
        <w:pBdr>
          <w:top w:val="nil"/>
          <w:left w:val="nil"/>
          <w:bottom w:val="nil"/>
          <w:right w:val="nil"/>
          <w:between w:val="nil"/>
        </w:pBdr>
        <w:tabs>
          <w:tab w:val="left" w:pos="432"/>
          <w:tab w:val="left" w:pos="867"/>
        </w:tabs>
        <w:spacing w:after="120" w:line="360" w:lineRule="auto"/>
        <w:rPr>
          <w:rFonts w:ascii="Arial" w:eastAsia="Arial" w:hAnsi="Arial" w:cs="Arial"/>
          <w:color w:val="010000"/>
          <w:sz w:val="20"/>
          <w:szCs w:val="20"/>
        </w:rPr>
      </w:pPr>
      <w:proofErr w:type="spellStart"/>
      <w:r w:rsidRPr="002E16A2">
        <w:rPr>
          <w:rFonts w:ascii="Arial" w:hAnsi="Arial" w:cs="Arial"/>
          <w:color w:val="010000"/>
          <w:sz w:val="20"/>
        </w:rPr>
        <w:t>DakLak</w:t>
      </w:r>
      <w:proofErr w:type="spellEnd"/>
      <w:r w:rsidRPr="002E16A2">
        <w:rPr>
          <w:rFonts w:ascii="Arial" w:hAnsi="Arial" w:cs="Arial"/>
          <w:color w:val="010000"/>
          <w:sz w:val="20"/>
        </w:rPr>
        <w:t xml:space="preserve"> Water Supply Joint Stock Company</w:t>
      </w:r>
    </w:p>
    <w:p w14:paraId="00000011" w14:textId="77777777" w:rsidR="00280563" w:rsidRPr="002E16A2" w:rsidRDefault="00882855" w:rsidP="00882855">
      <w:pPr>
        <w:numPr>
          <w:ilvl w:val="0"/>
          <w:numId w:val="2"/>
        </w:numPr>
        <w:pBdr>
          <w:top w:val="nil"/>
          <w:left w:val="nil"/>
          <w:bottom w:val="nil"/>
          <w:right w:val="nil"/>
          <w:between w:val="nil"/>
        </w:pBdr>
        <w:tabs>
          <w:tab w:val="left" w:pos="432"/>
          <w:tab w:val="left" w:pos="838"/>
        </w:tabs>
        <w:spacing w:after="120" w:line="360" w:lineRule="auto"/>
        <w:rPr>
          <w:rFonts w:ascii="Arial" w:eastAsia="Arial" w:hAnsi="Arial" w:cs="Arial"/>
          <w:color w:val="010000"/>
          <w:sz w:val="20"/>
          <w:szCs w:val="20"/>
        </w:rPr>
      </w:pPr>
      <w:r w:rsidRPr="002E16A2">
        <w:rPr>
          <w:rFonts w:ascii="Arial" w:hAnsi="Arial" w:cs="Arial"/>
          <w:color w:val="010000"/>
          <w:sz w:val="20"/>
        </w:rPr>
        <w:t xml:space="preserve">No. 339 Ton Duc Thang, Tan </w:t>
      </w:r>
      <w:proofErr w:type="gramStart"/>
      <w:r w:rsidRPr="002E16A2">
        <w:rPr>
          <w:rFonts w:ascii="Arial" w:hAnsi="Arial" w:cs="Arial"/>
          <w:color w:val="010000"/>
          <w:sz w:val="20"/>
        </w:rPr>
        <w:t>An</w:t>
      </w:r>
      <w:proofErr w:type="gramEnd"/>
      <w:r w:rsidRPr="002E16A2">
        <w:rPr>
          <w:rFonts w:ascii="Arial" w:hAnsi="Arial" w:cs="Arial"/>
          <w:color w:val="010000"/>
          <w:sz w:val="20"/>
        </w:rPr>
        <w:t xml:space="preserve"> Ward, </w:t>
      </w:r>
      <w:proofErr w:type="spellStart"/>
      <w:r w:rsidRPr="002E16A2">
        <w:rPr>
          <w:rFonts w:ascii="Arial" w:hAnsi="Arial" w:cs="Arial"/>
          <w:color w:val="010000"/>
          <w:sz w:val="20"/>
        </w:rPr>
        <w:t>Buon</w:t>
      </w:r>
      <w:proofErr w:type="spellEnd"/>
      <w:r w:rsidRPr="002E16A2">
        <w:rPr>
          <w:rFonts w:ascii="Arial" w:hAnsi="Arial" w:cs="Arial"/>
          <w:color w:val="010000"/>
          <w:sz w:val="20"/>
        </w:rPr>
        <w:t xml:space="preserve"> Ma </w:t>
      </w:r>
      <w:proofErr w:type="spellStart"/>
      <w:r w:rsidRPr="002E16A2">
        <w:rPr>
          <w:rFonts w:ascii="Arial" w:hAnsi="Arial" w:cs="Arial"/>
          <w:color w:val="010000"/>
          <w:sz w:val="20"/>
        </w:rPr>
        <w:t>Thuot</w:t>
      </w:r>
      <w:proofErr w:type="spellEnd"/>
      <w:r w:rsidRPr="002E16A2">
        <w:rPr>
          <w:rFonts w:ascii="Arial" w:hAnsi="Arial" w:cs="Arial"/>
          <w:color w:val="010000"/>
          <w:sz w:val="20"/>
        </w:rPr>
        <w:t xml:space="preserve"> City, </w:t>
      </w:r>
      <w:proofErr w:type="spellStart"/>
      <w:r w:rsidRPr="002E16A2">
        <w:rPr>
          <w:rFonts w:ascii="Arial" w:hAnsi="Arial" w:cs="Arial"/>
          <w:color w:val="010000"/>
          <w:sz w:val="20"/>
        </w:rPr>
        <w:t>Dak</w:t>
      </w:r>
      <w:proofErr w:type="spellEnd"/>
      <w:r w:rsidRPr="002E16A2">
        <w:rPr>
          <w:rFonts w:ascii="Arial" w:hAnsi="Arial" w:cs="Arial"/>
          <w:color w:val="010000"/>
          <w:sz w:val="20"/>
        </w:rPr>
        <w:t xml:space="preserve"> Lak Province.</w:t>
      </w:r>
    </w:p>
    <w:p w14:paraId="00000012" w14:textId="149FEE4E" w:rsidR="00280563" w:rsidRPr="002E16A2" w:rsidRDefault="00882855" w:rsidP="00882855">
      <w:pPr>
        <w:numPr>
          <w:ilvl w:val="0"/>
          <w:numId w:val="2"/>
        </w:numPr>
        <w:pBdr>
          <w:top w:val="nil"/>
          <w:left w:val="nil"/>
          <w:bottom w:val="nil"/>
          <w:right w:val="nil"/>
          <w:between w:val="nil"/>
        </w:pBdr>
        <w:tabs>
          <w:tab w:val="left" w:pos="432"/>
          <w:tab w:val="left" w:pos="867"/>
          <w:tab w:val="left" w:pos="4344"/>
        </w:tabs>
        <w:spacing w:after="120" w:line="360" w:lineRule="auto"/>
        <w:rPr>
          <w:rFonts w:ascii="Arial" w:eastAsia="Arial" w:hAnsi="Arial" w:cs="Arial"/>
          <w:color w:val="010000"/>
          <w:sz w:val="20"/>
          <w:szCs w:val="20"/>
        </w:rPr>
      </w:pPr>
      <w:r w:rsidRPr="002E16A2">
        <w:rPr>
          <w:rFonts w:ascii="Arial" w:hAnsi="Arial" w:cs="Arial"/>
          <w:color w:val="010000"/>
          <w:sz w:val="20"/>
        </w:rPr>
        <w:t xml:space="preserve">Tel: 02623.852619 </w:t>
      </w:r>
      <w:r w:rsidR="00E9058E">
        <w:rPr>
          <w:rFonts w:ascii="Arial" w:hAnsi="Arial" w:cs="Arial"/>
          <w:color w:val="010000"/>
          <w:sz w:val="20"/>
        </w:rPr>
        <w:t xml:space="preserve">          </w:t>
      </w:r>
      <w:bookmarkStart w:id="0" w:name="_GoBack"/>
      <w:bookmarkEnd w:id="0"/>
      <w:r w:rsidRPr="002E16A2">
        <w:rPr>
          <w:rFonts w:ascii="Arial" w:hAnsi="Arial" w:cs="Arial"/>
          <w:color w:val="010000"/>
          <w:sz w:val="20"/>
        </w:rPr>
        <w:t xml:space="preserve">Email: </w:t>
      </w:r>
      <w:hyperlink r:id="rId6">
        <w:r w:rsidRPr="002E16A2">
          <w:rPr>
            <w:rFonts w:ascii="Arial" w:hAnsi="Arial" w:cs="Arial"/>
            <w:color w:val="010000"/>
            <w:sz w:val="20"/>
          </w:rPr>
          <w:t>Phongtochucdakwaco@gmail.com</w:t>
        </w:r>
      </w:hyperlink>
      <w:r w:rsidRPr="002E16A2">
        <w:rPr>
          <w:rFonts w:ascii="Arial" w:hAnsi="Arial" w:cs="Arial"/>
          <w:color w:val="010000"/>
          <w:sz w:val="20"/>
        </w:rPr>
        <w:t xml:space="preserve"> </w:t>
      </w:r>
    </w:p>
    <w:p w14:paraId="00000013" w14:textId="77777777" w:rsidR="00280563" w:rsidRPr="002E16A2" w:rsidRDefault="00882855" w:rsidP="00882855">
      <w:pPr>
        <w:keepNext/>
        <w:numPr>
          <w:ilvl w:val="0"/>
          <w:numId w:val="1"/>
        </w:numPr>
        <w:pBdr>
          <w:top w:val="nil"/>
          <w:left w:val="nil"/>
          <w:bottom w:val="nil"/>
          <w:right w:val="nil"/>
          <w:between w:val="nil"/>
        </w:pBdr>
        <w:tabs>
          <w:tab w:val="left" w:pos="432"/>
          <w:tab w:val="left" w:pos="987"/>
        </w:tabs>
        <w:spacing w:after="120" w:line="360" w:lineRule="auto"/>
        <w:rPr>
          <w:rFonts w:ascii="Arial" w:eastAsia="Arial" w:hAnsi="Arial" w:cs="Arial"/>
          <w:color w:val="010000"/>
          <w:sz w:val="20"/>
          <w:szCs w:val="20"/>
        </w:rPr>
      </w:pPr>
      <w:r w:rsidRPr="002E16A2">
        <w:rPr>
          <w:rFonts w:ascii="Arial" w:hAnsi="Arial" w:cs="Arial"/>
          <w:color w:val="010000"/>
          <w:sz w:val="20"/>
        </w:rPr>
        <w:lastRenderedPageBreak/>
        <w:t>Candidate selection:</w:t>
      </w:r>
    </w:p>
    <w:p w14:paraId="00000014" w14:textId="453B0E2A" w:rsidR="00280563" w:rsidRPr="002E16A2" w:rsidRDefault="00882855" w:rsidP="0088285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16A2">
        <w:rPr>
          <w:rFonts w:ascii="Arial" w:hAnsi="Arial" w:cs="Arial"/>
          <w:color w:val="010000"/>
          <w:sz w:val="20"/>
        </w:rPr>
        <w:t>Based on the nominated and self-nominated dossiers submitted by individual shareholders or shareholder groups, along with accompanying dossiers from the candidates, the Board of Directors will compile a list of candidates who meet the specified criteria to be presented for approval at the Annual General Meeting of Shareholders in 2024. In case before 5:00 p.m. on April 8, 2024, the number of nominated members of the Board of Directors and Supervisory Board is lower than the number of elected members of the Board of Directors and Supervisory Board</w:t>
      </w:r>
      <w:r w:rsidR="002E16A2">
        <w:rPr>
          <w:rFonts w:ascii="Arial" w:hAnsi="Arial" w:cs="Arial"/>
          <w:color w:val="010000"/>
          <w:sz w:val="20"/>
        </w:rPr>
        <w:t xml:space="preserve"> required</w:t>
      </w:r>
      <w:r w:rsidRPr="002E16A2">
        <w:rPr>
          <w:rFonts w:ascii="Arial" w:hAnsi="Arial" w:cs="Arial"/>
          <w:color w:val="010000"/>
          <w:sz w:val="20"/>
        </w:rPr>
        <w:t>, then the remaining number of candidates will be decided by the Board of Directors and Supervisory Board</w:t>
      </w:r>
      <w:r w:rsidR="002E16A2" w:rsidRPr="002E16A2">
        <w:rPr>
          <w:rFonts w:ascii="Arial" w:hAnsi="Arial" w:cs="Arial"/>
          <w:color w:val="010000"/>
          <w:sz w:val="20"/>
        </w:rPr>
        <w:t xml:space="preserve"> </w:t>
      </w:r>
      <w:r w:rsidRPr="002E16A2">
        <w:rPr>
          <w:rFonts w:ascii="Arial" w:hAnsi="Arial" w:cs="Arial"/>
          <w:color w:val="010000"/>
          <w:sz w:val="20"/>
        </w:rPr>
        <w:t>in accordance with legal regulations.</w:t>
      </w:r>
    </w:p>
    <w:p w14:paraId="00000015" w14:textId="77777777" w:rsidR="00280563" w:rsidRPr="002E16A2" w:rsidRDefault="00882855" w:rsidP="0088285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16A2">
        <w:rPr>
          <w:rFonts w:ascii="Arial" w:hAnsi="Arial" w:cs="Arial"/>
          <w:color w:val="010000"/>
          <w:sz w:val="20"/>
        </w:rPr>
        <w:t>‎‎Article 2. Assign the Chair of the Board of Directors to approve related dossiers and direct the assignment of personnel to deploy in accordance with the policy approved by the Board of Directors.</w:t>
      </w:r>
    </w:p>
    <w:p w14:paraId="00000016" w14:textId="77777777" w:rsidR="00280563" w:rsidRPr="002E16A2" w:rsidRDefault="00882855" w:rsidP="0088285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16A2">
        <w:rPr>
          <w:rFonts w:ascii="Arial" w:hAnsi="Arial" w:cs="Arial"/>
          <w:color w:val="010000"/>
          <w:sz w:val="20"/>
        </w:rPr>
        <w:t>‎‎Article 3. This Resolution takes effect from the date of its signing.</w:t>
      </w:r>
    </w:p>
    <w:p w14:paraId="00000017" w14:textId="77777777" w:rsidR="00280563" w:rsidRPr="002E16A2" w:rsidRDefault="00882855" w:rsidP="0088285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E16A2">
        <w:rPr>
          <w:rFonts w:ascii="Arial" w:hAnsi="Arial" w:cs="Arial"/>
          <w:color w:val="010000"/>
          <w:sz w:val="20"/>
        </w:rPr>
        <w:t>‎‎Article 4. Members of the Board of Directors, the Board of Management and related departments of the Company are responsible for organizing and implementing the contents of this Resolution.</w:t>
      </w:r>
    </w:p>
    <w:p w14:paraId="00000018" w14:textId="77777777" w:rsidR="00280563" w:rsidRPr="002E16A2" w:rsidRDefault="00882855" w:rsidP="00882855">
      <w:pPr>
        <w:pBdr>
          <w:top w:val="nil"/>
          <w:left w:val="nil"/>
          <w:bottom w:val="nil"/>
          <w:right w:val="nil"/>
          <w:between w:val="nil"/>
        </w:pBdr>
        <w:tabs>
          <w:tab w:val="left" w:pos="432"/>
          <w:tab w:val="left" w:pos="1002"/>
        </w:tabs>
        <w:spacing w:after="120" w:line="360" w:lineRule="auto"/>
        <w:rPr>
          <w:rFonts w:ascii="Arial" w:eastAsia="Arial" w:hAnsi="Arial" w:cs="Arial"/>
          <w:color w:val="010000"/>
          <w:sz w:val="20"/>
          <w:szCs w:val="20"/>
        </w:rPr>
      </w:pPr>
      <w:r w:rsidRPr="002E16A2">
        <w:rPr>
          <w:rFonts w:ascii="Arial" w:hAnsi="Arial" w:cs="Arial"/>
          <w:color w:val="010000"/>
          <w:sz w:val="20"/>
        </w:rPr>
        <w:t xml:space="preserve"> </w:t>
      </w:r>
    </w:p>
    <w:sectPr w:rsidR="00280563" w:rsidRPr="002E16A2" w:rsidSect="00882855">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061C7"/>
    <w:multiLevelType w:val="multilevel"/>
    <w:tmpl w:val="9B1AAD0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8A54A30"/>
    <w:multiLevelType w:val="multilevel"/>
    <w:tmpl w:val="A84E37A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563"/>
    <w:rsid w:val="00280563"/>
    <w:rsid w:val="002E16A2"/>
    <w:rsid w:val="00882855"/>
    <w:rsid w:val="00E9058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5F2BB4"/>
  <w15:docId w15:val="{83C8B826-2D04-4823-9CE0-F9AB42F1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paragraph" w:styleId="BodyText">
    <w:name w:val="Body Text"/>
    <w:basedOn w:val="Normal"/>
    <w:link w:val="BodyTextChar"/>
    <w:qFormat/>
    <w:pPr>
      <w:spacing w:line="324" w:lineRule="auto"/>
      <w:ind w:firstLine="400"/>
    </w:pPr>
    <w:rPr>
      <w:rFonts w:ascii="Times New Roman" w:eastAsia="Times New Roman" w:hAnsi="Times New Roman" w:cs="Times New Roman"/>
      <w:sz w:val="26"/>
      <w:szCs w:val="26"/>
    </w:rPr>
  </w:style>
  <w:style w:type="paragraph" w:customStyle="1" w:styleId="Heading11">
    <w:name w:val="Heading #1"/>
    <w:basedOn w:val="Normal"/>
    <w:link w:val="Heading10"/>
    <w:pPr>
      <w:spacing w:line="324" w:lineRule="auto"/>
      <w:ind w:firstLine="600"/>
      <w:outlineLvl w:val="0"/>
    </w:pPr>
    <w:rPr>
      <w:rFonts w:ascii="Times New Roman" w:eastAsia="Times New Roman" w:hAnsi="Times New Roman" w:cs="Times New Roman"/>
      <w:b/>
      <w:bCs/>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hongtochucdakwaco@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QUDgfHK+zAiKwFuRMfq/Aodagw==">CgMxLjA4AHIhMURTXzJMa2pNUjdkOGk2ZmcteG54MGFwMzk3RlhaTURj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563</Words>
  <Characters>3214</Characters>
  <Application>Microsoft Office Word</Application>
  <DocSecurity>0</DocSecurity>
  <Lines>26</Lines>
  <Paragraphs>7</Paragraphs>
  <ScaleCrop>false</ScaleCrop>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Trinh Ha Phuong</cp:lastModifiedBy>
  <cp:revision>5</cp:revision>
  <dcterms:created xsi:type="dcterms:W3CDTF">2024-03-12T03:32:00Z</dcterms:created>
  <dcterms:modified xsi:type="dcterms:W3CDTF">2024-03-13T09:35:00Z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49d60812450dfcea6c9457944ab44703b89fa67aecf175ab1582815cf422bf3f</vt:lpwstr>
  </property>
</Properties>
</file>