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D3CEFF1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5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76B9">
        <w:rPr>
          <w:rFonts w:ascii="Arial" w:hAnsi="Arial" w:cs="Arial"/>
          <w:b/>
          <w:color w:val="010000"/>
          <w:sz w:val="20"/>
        </w:rPr>
        <w:t>GHC: Board Resolution</w:t>
      </w:r>
      <w:r w:rsidR="00450496">
        <w:rPr>
          <w:rFonts w:ascii="Arial" w:hAnsi="Arial" w:cs="Arial"/>
          <w:b/>
          <w:color w:val="010000"/>
          <w:sz w:val="20"/>
        </w:rPr>
        <w:t>s</w:t>
      </w:r>
    </w:p>
    <w:p w14:paraId="00000002" w14:textId="065B579D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On March 8, 2024, </w:t>
      </w:r>
      <w:proofErr w:type="spellStart"/>
      <w:r w:rsidRPr="00E776B9">
        <w:rPr>
          <w:rFonts w:ascii="Arial" w:hAnsi="Arial" w:cs="Arial"/>
          <w:color w:val="010000"/>
          <w:sz w:val="20"/>
        </w:rPr>
        <w:t>Gia</w:t>
      </w:r>
      <w:proofErr w:type="spellEnd"/>
      <w:r w:rsidRPr="00E776B9">
        <w:rPr>
          <w:rFonts w:ascii="Arial" w:hAnsi="Arial" w:cs="Arial"/>
          <w:color w:val="010000"/>
          <w:sz w:val="20"/>
        </w:rPr>
        <w:t xml:space="preserve"> Lai Hydropower Joint Stock Company announced Board Resolution No. 07/2024/NQ-HDQT on convening the Annual </w:t>
      </w:r>
      <w:r w:rsidR="00450496">
        <w:rPr>
          <w:rFonts w:ascii="Arial" w:hAnsi="Arial" w:cs="Arial"/>
          <w:color w:val="010000"/>
          <w:sz w:val="20"/>
        </w:rPr>
        <w:t>General Meeting</w:t>
      </w:r>
      <w:r w:rsidRPr="00E776B9">
        <w:rPr>
          <w:rFonts w:ascii="Arial" w:hAnsi="Arial" w:cs="Arial"/>
          <w:color w:val="010000"/>
          <w:sz w:val="20"/>
        </w:rPr>
        <w:t xml:space="preserve"> 2024, as follows:</w:t>
      </w:r>
    </w:p>
    <w:p w14:paraId="00000003" w14:textId="2E536EB4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‎‎Article 1. Approve the time, venue, and expected contents of the Annual </w:t>
      </w:r>
      <w:r w:rsidR="00450496">
        <w:rPr>
          <w:rFonts w:ascii="Arial" w:hAnsi="Arial" w:cs="Arial"/>
          <w:color w:val="010000"/>
          <w:sz w:val="20"/>
        </w:rPr>
        <w:t>General Meeting</w:t>
      </w:r>
      <w:r w:rsidRPr="00E776B9">
        <w:rPr>
          <w:rFonts w:ascii="Arial" w:hAnsi="Arial" w:cs="Arial"/>
          <w:color w:val="010000"/>
          <w:sz w:val="20"/>
        </w:rPr>
        <w:t xml:space="preserve"> 2024 as follows:</w:t>
      </w:r>
    </w:p>
    <w:p w14:paraId="00000005" w14:textId="12CC4E72" w:rsidR="00926A7C" w:rsidRPr="00E776B9" w:rsidRDefault="0045049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DD6A86" w:rsidRPr="00E776B9">
        <w:rPr>
          <w:rFonts w:ascii="Arial" w:hAnsi="Arial" w:cs="Arial"/>
          <w:color w:val="010000"/>
          <w:sz w:val="20"/>
        </w:rPr>
        <w:t>ecord date of the list of shareholders: March 29, 2024.</w:t>
      </w:r>
    </w:p>
    <w:p w14:paraId="00000006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  <w:tab w:val="left" w:pos="40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Meeting date: April 26, 2024</w:t>
      </w:r>
    </w:p>
    <w:p w14:paraId="00000007" w14:textId="4535E1ED" w:rsidR="00926A7C" w:rsidRPr="00E776B9" w:rsidRDefault="0045049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</w:t>
      </w:r>
      <w:r w:rsidR="00DD6A86" w:rsidRPr="00E776B9">
        <w:rPr>
          <w:rFonts w:ascii="Arial" w:hAnsi="Arial" w:cs="Arial"/>
          <w:color w:val="010000"/>
          <w:sz w:val="20"/>
        </w:rPr>
        <w:t xml:space="preserve"> venue: Building 253 Hoang Van Thu, Ward 2, Tan </w:t>
      </w:r>
      <w:proofErr w:type="spellStart"/>
      <w:r w:rsidR="00DD6A86" w:rsidRPr="00E776B9">
        <w:rPr>
          <w:rFonts w:ascii="Arial" w:hAnsi="Arial" w:cs="Arial"/>
          <w:color w:val="010000"/>
          <w:sz w:val="20"/>
        </w:rPr>
        <w:t>Binh</w:t>
      </w:r>
      <w:proofErr w:type="spellEnd"/>
      <w:r w:rsidR="00DD6A86" w:rsidRPr="00E776B9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00000008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Contents of the Meeting agenda:</w:t>
      </w:r>
    </w:p>
    <w:p w14:paraId="00000009" w14:textId="098E1931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Report</w:t>
      </w:r>
      <w:r w:rsidR="008402B7" w:rsidRPr="00E776B9">
        <w:rPr>
          <w:rFonts w:ascii="Arial" w:hAnsi="Arial" w:cs="Arial"/>
          <w:color w:val="010000"/>
          <w:sz w:val="20"/>
        </w:rPr>
        <w:t xml:space="preserve"> of the Board of Directors</w:t>
      </w:r>
      <w:r w:rsidRPr="00E776B9">
        <w:rPr>
          <w:rFonts w:ascii="Arial" w:hAnsi="Arial" w:cs="Arial"/>
          <w:color w:val="010000"/>
          <w:sz w:val="20"/>
        </w:rPr>
        <w:t xml:space="preserve"> on the activities in 2023 and the orientation for 2024.</w:t>
      </w:r>
    </w:p>
    <w:p w14:paraId="0000000A" w14:textId="348F5211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Report of independent members</w:t>
      </w:r>
      <w:r w:rsidR="008402B7" w:rsidRPr="00E776B9">
        <w:rPr>
          <w:rFonts w:ascii="Arial" w:hAnsi="Arial" w:cs="Arial"/>
          <w:color w:val="010000"/>
          <w:sz w:val="20"/>
        </w:rPr>
        <w:t xml:space="preserve"> of the Board of Directors</w:t>
      </w:r>
      <w:r w:rsidRPr="00E776B9">
        <w:rPr>
          <w:rFonts w:ascii="Arial" w:hAnsi="Arial" w:cs="Arial"/>
          <w:color w:val="010000"/>
          <w:sz w:val="20"/>
        </w:rPr>
        <w:t xml:space="preserve"> </w:t>
      </w:r>
      <w:r w:rsidR="008402B7" w:rsidRPr="00E776B9">
        <w:rPr>
          <w:rFonts w:ascii="Arial" w:hAnsi="Arial" w:cs="Arial"/>
          <w:color w:val="010000"/>
          <w:sz w:val="20"/>
        </w:rPr>
        <w:t>in</w:t>
      </w:r>
      <w:r w:rsidRPr="00E776B9">
        <w:rPr>
          <w:rFonts w:ascii="Arial" w:hAnsi="Arial" w:cs="Arial"/>
          <w:color w:val="010000"/>
          <w:sz w:val="20"/>
        </w:rPr>
        <w:t xml:space="preserve"> the Audit Committee on activities in 2023.</w:t>
      </w:r>
    </w:p>
    <w:p w14:paraId="0000000B" w14:textId="77777777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Report of the Audit Committee on activities in 2023 and the operating plan for 2024;</w:t>
      </w:r>
    </w:p>
    <w:p w14:paraId="0000000C" w14:textId="77777777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Report of the Executive Board on the production and business results in 2023 and the production and business plan for 2024.</w:t>
      </w:r>
    </w:p>
    <w:p w14:paraId="0000000D" w14:textId="439DE9B9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Proposal on approving the Audited </w:t>
      </w:r>
      <w:r w:rsidR="008402B7" w:rsidRPr="00E776B9">
        <w:rPr>
          <w:rFonts w:ascii="Arial" w:hAnsi="Arial" w:cs="Arial"/>
          <w:color w:val="010000"/>
          <w:sz w:val="20"/>
        </w:rPr>
        <w:t>Financial Statements 20</w:t>
      </w:r>
      <w:r w:rsidRPr="00E776B9">
        <w:rPr>
          <w:rFonts w:ascii="Arial" w:hAnsi="Arial" w:cs="Arial"/>
          <w:color w:val="010000"/>
          <w:sz w:val="20"/>
        </w:rPr>
        <w:t>23;</w:t>
      </w:r>
    </w:p>
    <w:p w14:paraId="0000000E" w14:textId="3B60CE04" w:rsidR="00926A7C" w:rsidRPr="00E776B9" w:rsidRDefault="0045049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Proposal on selecting an audit c</w:t>
      </w:r>
      <w:r w:rsidR="00DD6A86" w:rsidRPr="00E776B9">
        <w:rPr>
          <w:rFonts w:ascii="Arial" w:hAnsi="Arial" w:cs="Arial"/>
          <w:color w:val="010000"/>
          <w:sz w:val="20"/>
        </w:rPr>
        <w:t xml:space="preserve">ompany for the </w:t>
      </w:r>
      <w:r w:rsidR="008402B7" w:rsidRPr="00E776B9">
        <w:rPr>
          <w:rFonts w:ascii="Arial" w:hAnsi="Arial" w:cs="Arial"/>
          <w:color w:val="010000"/>
          <w:sz w:val="20"/>
        </w:rPr>
        <w:t>Financial Statements</w:t>
      </w:r>
      <w:r w:rsidR="00DD6A86" w:rsidRPr="00E776B9">
        <w:rPr>
          <w:rFonts w:ascii="Arial" w:hAnsi="Arial" w:cs="Arial"/>
          <w:color w:val="010000"/>
          <w:sz w:val="20"/>
        </w:rPr>
        <w:t xml:space="preserve"> 2024;</w:t>
      </w:r>
    </w:p>
    <w:p w14:paraId="0000000F" w14:textId="77777777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Proposal on approving the profit distribution and dividend payment plan in 2023.</w:t>
      </w:r>
    </w:p>
    <w:p w14:paraId="00000010" w14:textId="77777777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Proposal on approving the production and business plan and expected profit distribution plan for 2024.</w:t>
      </w:r>
    </w:p>
    <w:p w14:paraId="00000011" w14:textId="286B2FD5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Proposal on the contracts and transactions with </w:t>
      </w:r>
      <w:r w:rsidR="00450496">
        <w:rPr>
          <w:rFonts w:ascii="Arial" w:hAnsi="Arial" w:cs="Arial"/>
          <w:color w:val="010000"/>
          <w:sz w:val="20"/>
        </w:rPr>
        <w:t>related</w:t>
      </w:r>
      <w:r w:rsidRPr="00E776B9">
        <w:rPr>
          <w:rFonts w:ascii="Arial" w:hAnsi="Arial" w:cs="Arial"/>
          <w:color w:val="010000"/>
          <w:sz w:val="20"/>
        </w:rPr>
        <w:t xml:space="preserve"> parties.</w:t>
      </w:r>
    </w:p>
    <w:p w14:paraId="00000012" w14:textId="77777777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Proposal on approving the remuneration and estimated operating expenses of the Board of Directors for 2024.</w:t>
      </w:r>
    </w:p>
    <w:p w14:paraId="00000013" w14:textId="67F917BF" w:rsidR="00926A7C" w:rsidRPr="00E776B9" w:rsidRDefault="00DD6A86" w:rsidP="00450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Other contents (if any) under the authority of the </w:t>
      </w:r>
      <w:r w:rsidR="00450496">
        <w:rPr>
          <w:rFonts w:ascii="Arial" w:hAnsi="Arial" w:cs="Arial"/>
          <w:color w:val="010000"/>
          <w:sz w:val="20"/>
        </w:rPr>
        <w:t>General Meeting</w:t>
      </w:r>
      <w:r w:rsidRPr="00E776B9">
        <w:rPr>
          <w:rFonts w:ascii="Arial" w:hAnsi="Arial" w:cs="Arial"/>
          <w:color w:val="010000"/>
          <w:sz w:val="20"/>
        </w:rPr>
        <w:t>.</w:t>
      </w:r>
    </w:p>
    <w:p w14:paraId="00000014" w14:textId="55FD6076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‎‎Article 2. Establish the Shareholder's Eligibility Verification Committee to carry out shareholder's eligibility verification before and at the </w:t>
      </w:r>
      <w:r w:rsidR="00450496">
        <w:rPr>
          <w:rFonts w:ascii="Arial" w:hAnsi="Arial" w:cs="Arial"/>
          <w:color w:val="010000"/>
          <w:sz w:val="20"/>
        </w:rPr>
        <w:t>General Meeting</w:t>
      </w:r>
      <w:r w:rsidRPr="00E776B9">
        <w:rPr>
          <w:rFonts w:ascii="Arial" w:hAnsi="Arial" w:cs="Arial"/>
          <w:color w:val="010000"/>
          <w:sz w:val="20"/>
        </w:rPr>
        <w:t xml:space="preserve"> with the following composition:</w:t>
      </w:r>
    </w:p>
    <w:p w14:paraId="00000015" w14:textId="77777777" w:rsidR="00926A7C" w:rsidRPr="00E776B9" w:rsidRDefault="00DD6A86" w:rsidP="00450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Responsibilities:</w:t>
      </w:r>
    </w:p>
    <w:p w14:paraId="00000016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Verify the shareholder or authorized representative attendance rate for the meeting.</w:t>
      </w:r>
    </w:p>
    <w:p w14:paraId="00000017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Verify the National Identity Card/Citizen ID or other personal identification documents, Invitation Letter, Power of Attorney (for Authorized Representatives) of shareholders or authorized representatives attending the Meeting.</w:t>
      </w:r>
    </w:p>
    <w:p w14:paraId="00000018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Distribute Voting Cards and documents to shareholders or authorized representatives attending the Meeting</w:t>
      </w:r>
    </w:p>
    <w:p w14:paraId="00000019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lastRenderedPageBreak/>
        <w:t>Report to the Meeting on the results of the shareholders’ eligibility verification and the rate of shareholders attending the Meeting.</w:t>
      </w:r>
    </w:p>
    <w:p w14:paraId="0000001A" w14:textId="77777777" w:rsidR="00926A7C" w:rsidRPr="00E776B9" w:rsidRDefault="00DD6A86" w:rsidP="00450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Member:</w:t>
      </w:r>
    </w:p>
    <w:p w14:paraId="0000001B" w14:textId="49BAFEEA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  <w:tab w:val="left" w:pos="3168"/>
          <w:tab w:val="left" w:pos="8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Mr. Le Thai </w:t>
      </w:r>
      <w:proofErr w:type="spellStart"/>
      <w:r w:rsidRPr="00E776B9">
        <w:rPr>
          <w:rFonts w:ascii="Arial" w:hAnsi="Arial" w:cs="Arial"/>
          <w:color w:val="010000"/>
          <w:sz w:val="20"/>
        </w:rPr>
        <w:t>Binh</w:t>
      </w:r>
      <w:proofErr w:type="spellEnd"/>
      <w:r w:rsidRPr="00E776B9">
        <w:rPr>
          <w:rFonts w:ascii="Arial" w:hAnsi="Arial" w:cs="Arial"/>
          <w:color w:val="010000"/>
          <w:sz w:val="20"/>
        </w:rPr>
        <w:t xml:space="preserve"> - Member of the Board of Director-Member of the Audit Committee -</w:t>
      </w:r>
      <w:r w:rsidR="00E776B9" w:rsidRPr="00E776B9">
        <w:rPr>
          <w:rFonts w:ascii="Arial" w:hAnsi="Arial" w:cs="Arial"/>
          <w:color w:val="010000"/>
          <w:sz w:val="20"/>
        </w:rPr>
        <w:t xml:space="preserve"> Committee</w:t>
      </w:r>
      <w:r w:rsidRPr="00E776B9">
        <w:rPr>
          <w:rFonts w:ascii="Arial" w:hAnsi="Arial" w:cs="Arial"/>
          <w:color w:val="010000"/>
          <w:sz w:val="20"/>
        </w:rPr>
        <w:t xml:space="preserve"> Head</w:t>
      </w:r>
    </w:p>
    <w:p w14:paraId="0000001C" w14:textId="25D22E2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  <w:tab w:val="left" w:pos="3307"/>
          <w:tab w:val="left" w:pos="8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Ms. Nguyen Thanh Nga- Company Office Specialist - </w:t>
      </w:r>
      <w:r w:rsidR="00E776B9" w:rsidRPr="00E776B9">
        <w:rPr>
          <w:rFonts w:ascii="Arial" w:hAnsi="Arial" w:cs="Arial"/>
          <w:color w:val="010000"/>
          <w:sz w:val="20"/>
        </w:rPr>
        <w:t xml:space="preserve">Committee </w:t>
      </w:r>
      <w:r w:rsidRPr="00E776B9">
        <w:rPr>
          <w:rFonts w:ascii="Arial" w:hAnsi="Arial" w:cs="Arial"/>
          <w:color w:val="010000"/>
          <w:sz w:val="20"/>
        </w:rPr>
        <w:t>Member</w:t>
      </w:r>
    </w:p>
    <w:p w14:paraId="0000001D" w14:textId="0A092449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  <w:tab w:val="left" w:pos="3168"/>
          <w:tab w:val="left" w:pos="8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Ms. Nguyen Thi </w:t>
      </w:r>
      <w:proofErr w:type="spellStart"/>
      <w:r w:rsidRPr="00E776B9">
        <w:rPr>
          <w:rFonts w:ascii="Arial" w:hAnsi="Arial" w:cs="Arial"/>
          <w:color w:val="010000"/>
          <w:sz w:val="20"/>
        </w:rPr>
        <w:t>Dieu</w:t>
      </w:r>
      <w:proofErr w:type="spellEnd"/>
      <w:r w:rsidRPr="00E776B9">
        <w:rPr>
          <w:rFonts w:ascii="Arial" w:hAnsi="Arial" w:cs="Arial"/>
          <w:color w:val="010000"/>
          <w:sz w:val="20"/>
        </w:rPr>
        <w:t xml:space="preserve"> </w:t>
      </w:r>
      <w:r w:rsidR="00450496">
        <w:rPr>
          <w:rFonts w:ascii="Arial" w:hAnsi="Arial" w:cs="Arial"/>
          <w:color w:val="010000"/>
          <w:sz w:val="20"/>
        </w:rPr>
        <w:t>–</w:t>
      </w:r>
      <w:r w:rsidRPr="00E776B9">
        <w:rPr>
          <w:rFonts w:ascii="Arial" w:hAnsi="Arial" w:cs="Arial"/>
          <w:color w:val="010000"/>
          <w:sz w:val="20"/>
        </w:rPr>
        <w:t xml:space="preserve"> </w:t>
      </w:r>
      <w:r w:rsidR="00450496">
        <w:rPr>
          <w:rFonts w:ascii="Arial" w:hAnsi="Arial" w:cs="Arial"/>
          <w:color w:val="010000"/>
          <w:sz w:val="20"/>
        </w:rPr>
        <w:t>Investor Relations</w:t>
      </w:r>
      <w:r w:rsidR="008402B7" w:rsidRPr="00E776B9">
        <w:rPr>
          <w:rFonts w:ascii="Arial" w:hAnsi="Arial" w:cs="Arial"/>
          <w:color w:val="010000"/>
          <w:sz w:val="20"/>
        </w:rPr>
        <w:t xml:space="preserve"> </w:t>
      </w:r>
      <w:r w:rsidRPr="00E776B9">
        <w:rPr>
          <w:rFonts w:ascii="Arial" w:hAnsi="Arial" w:cs="Arial"/>
          <w:color w:val="010000"/>
          <w:sz w:val="20"/>
        </w:rPr>
        <w:t xml:space="preserve">Specialist - </w:t>
      </w:r>
      <w:r w:rsidR="00E776B9" w:rsidRPr="00E776B9">
        <w:rPr>
          <w:rFonts w:ascii="Arial" w:hAnsi="Arial" w:cs="Arial"/>
          <w:color w:val="010000"/>
          <w:sz w:val="20"/>
        </w:rPr>
        <w:t xml:space="preserve">Committee </w:t>
      </w:r>
      <w:r w:rsidRPr="00E776B9">
        <w:rPr>
          <w:rFonts w:ascii="Arial" w:hAnsi="Arial" w:cs="Arial"/>
          <w:color w:val="010000"/>
          <w:sz w:val="20"/>
        </w:rPr>
        <w:t>Member</w:t>
      </w:r>
    </w:p>
    <w:p w14:paraId="0000001E" w14:textId="4191708A" w:rsidR="00926A7C" w:rsidRPr="00E776B9" w:rsidRDefault="00DD6A86" w:rsidP="00450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Assign the Chair of the Board of Directors to adjust </w:t>
      </w:r>
      <w:r w:rsidR="00E776B9" w:rsidRPr="00E776B9">
        <w:rPr>
          <w:rFonts w:ascii="Arial" w:hAnsi="Arial" w:cs="Arial"/>
          <w:color w:val="010000"/>
          <w:sz w:val="20"/>
        </w:rPr>
        <w:t xml:space="preserve">Committee </w:t>
      </w:r>
      <w:r w:rsidRPr="00E776B9">
        <w:rPr>
          <w:rFonts w:ascii="Arial" w:hAnsi="Arial" w:cs="Arial"/>
          <w:color w:val="010000"/>
          <w:sz w:val="20"/>
        </w:rPr>
        <w:t>members in accordance with the actual situation.</w:t>
      </w:r>
    </w:p>
    <w:p w14:paraId="0000001F" w14:textId="000DAA9B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‎‎Article 3. Assign the Executive Board to carry out procedures for notifying shareholders and disclosing </w:t>
      </w:r>
      <w:r w:rsidR="00450496">
        <w:rPr>
          <w:rFonts w:ascii="Arial" w:hAnsi="Arial" w:cs="Arial"/>
          <w:color w:val="010000"/>
          <w:sz w:val="20"/>
        </w:rPr>
        <w:t>information related to the convening</w:t>
      </w:r>
      <w:r w:rsidRPr="00E776B9">
        <w:rPr>
          <w:rFonts w:ascii="Arial" w:hAnsi="Arial" w:cs="Arial"/>
          <w:color w:val="010000"/>
          <w:sz w:val="20"/>
        </w:rPr>
        <w:t xml:space="preserve"> of the Annual </w:t>
      </w:r>
      <w:r w:rsidR="00450496">
        <w:rPr>
          <w:rFonts w:ascii="Arial" w:hAnsi="Arial" w:cs="Arial"/>
          <w:color w:val="010000"/>
          <w:sz w:val="20"/>
        </w:rPr>
        <w:t>General Meeting</w:t>
      </w:r>
      <w:r w:rsidRPr="00E776B9">
        <w:rPr>
          <w:rFonts w:ascii="Arial" w:hAnsi="Arial" w:cs="Arial"/>
          <w:color w:val="010000"/>
          <w:sz w:val="20"/>
        </w:rPr>
        <w:t xml:space="preserve"> 2024 </w:t>
      </w:r>
      <w:r w:rsidR="00450496">
        <w:rPr>
          <w:rFonts w:ascii="Arial" w:hAnsi="Arial" w:cs="Arial"/>
          <w:color w:val="010000"/>
          <w:sz w:val="20"/>
        </w:rPr>
        <w:t>under</w:t>
      </w:r>
      <w:r w:rsidRPr="00E776B9">
        <w:rPr>
          <w:rFonts w:ascii="Arial" w:hAnsi="Arial" w:cs="Arial"/>
          <w:color w:val="010000"/>
          <w:sz w:val="20"/>
        </w:rPr>
        <w:t xml:space="preserve"> the Company's regulations and </w:t>
      </w:r>
      <w:r w:rsidR="00450496">
        <w:rPr>
          <w:rFonts w:ascii="Arial" w:hAnsi="Arial" w:cs="Arial"/>
          <w:color w:val="010000"/>
          <w:sz w:val="20"/>
        </w:rPr>
        <w:t>applicable laws</w:t>
      </w:r>
      <w:r w:rsidRPr="00E776B9">
        <w:rPr>
          <w:rFonts w:ascii="Arial" w:hAnsi="Arial" w:cs="Arial"/>
          <w:color w:val="010000"/>
          <w:sz w:val="20"/>
        </w:rPr>
        <w:t>.</w:t>
      </w:r>
    </w:p>
    <w:p w14:paraId="00000020" w14:textId="77777777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‎‎Article 4. Terms of enforcement</w:t>
      </w:r>
    </w:p>
    <w:p w14:paraId="00000021" w14:textId="6EB83E5A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This </w:t>
      </w:r>
      <w:r w:rsidR="00450496">
        <w:rPr>
          <w:rFonts w:ascii="Arial" w:hAnsi="Arial" w:cs="Arial"/>
          <w:color w:val="010000"/>
          <w:sz w:val="20"/>
        </w:rPr>
        <w:t xml:space="preserve">Board </w:t>
      </w:r>
      <w:r w:rsidRPr="00E776B9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22" w14:textId="1CC01433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776B9">
        <w:rPr>
          <w:rFonts w:ascii="Arial" w:hAnsi="Arial" w:cs="Arial"/>
          <w:color w:val="010000"/>
          <w:sz w:val="20"/>
        </w:rPr>
        <w:t>Members of the Board of Directors, the Executive Board, and all employees of the Company are responsible for implementing this Resolution.</w:t>
      </w:r>
    </w:p>
    <w:p w14:paraId="0FD3BBA0" w14:textId="62F7D586" w:rsidR="00DD6A86" w:rsidRPr="00E776B9" w:rsidRDefault="00DD6A86" w:rsidP="00450496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24" w14:textId="0AE556E3" w:rsidR="00926A7C" w:rsidRPr="00E776B9" w:rsidRDefault="00DD6A86" w:rsidP="00450496">
      <w:pPr>
        <w:tabs>
          <w:tab w:val="left" w:pos="432"/>
          <w:tab w:val="left" w:pos="54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On March 8, 2024, </w:t>
      </w:r>
      <w:proofErr w:type="spellStart"/>
      <w:r w:rsidRPr="00E776B9">
        <w:rPr>
          <w:rFonts w:ascii="Arial" w:hAnsi="Arial" w:cs="Arial"/>
          <w:color w:val="010000"/>
          <w:sz w:val="20"/>
        </w:rPr>
        <w:t>Gia</w:t>
      </w:r>
      <w:proofErr w:type="spellEnd"/>
      <w:r w:rsidRPr="00E776B9">
        <w:rPr>
          <w:rFonts w:ascii="Arial" w:hAnsi="Arial" w:cs="Arial"/>
          <w:color w:val="010000"/>
          <w:sz w:val="20"/>
        </w:rPr>
        <w:t xml:space="preserve"> Lai Hydropower Joint Stock Company announced Resolution No. 08/2024/NQ-HDQT on approving the Policy of signing the transaction contract with </w:t>
      </w:r>
      <w:r w:rsidR="00450496">
        <w:rPr>
          <w:rFonts w:ascii="Arial" w:hAnsi="Arial" w:cs="Arial"/>
          <w:color w:val="010000"/>
          <w:sz w:val="20"/>
        </w:rPr>
        <w:t>related</w:t>
      </w:r>
      <w:r w:rsidRPr="00E776B9">
        <w:rPr>
          <w:rFonts w:ascii="Arial" w:hAnsi="Arial" w:cs="Arial"/>
          <w:color w:val="010000"/>
          <w:sz w:val="20"/>
        </w:rPr>
        <w:t xml:space="preserve"> parties, as follows:</w:t>
      </w:r>
    </w:p>
    <w:p w14:paraId="00000025" w14:textId="74B1FE85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‎‎Article 1. Approve the policy of signing Transaction Contracts with </w:t>
      </w:r>
      <w:r w:rsidR="00450496">
        <w:rPr>
          <w:rFonts w:ascii="Arial" w:hAnsi="Arial" w:cs="Arial"/>
          <w:color w:val="010000"/>
          <w:sz w:val="20"/>
        </w:rPr>
        <w:t>related</w:t>
      </w:r>
      <w:r w:rsidRPr="00E776B9">
        <w:rPr>
          <w:rFonts w:ascii="Arial" w:hAnsi="Arial" w:cs="Arial"/>
          <w:color w:val="010000"/>
          <w:sz w:val="20"/>
        </w:rPr>
        <w:t xml:space="preserve"> parties, as follows:</w:t>
      </w:r>
    </w:p>
    <w:p w14:paraId="00000026" w14:textId="5FEBCF84" w:rsidR="00926A7C" w:rsidRPr="00E776B9" w:rsidRDefault="00DD6A86" w:rsidP="00450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Transaction signing object: </w:t>
      </w:r>
      <w:r w:rsidR="00450496">
        <w:rPr>
          <w:rFonts w:ascii="Arial" w:hAnsi="Arial" w:cs="Arial"/>
          <w:color w:val="010000"/>
          <w:sz w:val="20"/>
        </w:rPr>
        <w:t>Related</w:t>
      </w:r>
      <w:r w:rsidRPr="00E776B9">
        <w:rPr>
          <w:rFonts w:ascii="Arial" w:hAnsi="Arial" w:cs="Arial"/>
          <w:color w:val="010000"/>
          <w:sz w:val="20"/>
        </w:rPr>
        <w:t xml:space="preserve"> organizations and individuals in accordance with the Law on Enterprises and the Law on Securities</w:t>
      </w:r>
    </w:p>
    <w:p w14:paraId="00000027" w14:textId="77777777" w:rsidR="00926A7C" w:rsidRPr="00E776B9" w:rsidRDefault="00DD6A86" w:rsidP="00450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Signing contents:</w:t>
      </w:r>
    </w:p>
    <w:p w14:paraId="00000028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Service provision contracts: Operational management, testing of Electrical systems, consultancy in fields such as human resources, information technology, operational management...</w:t>
      </w:r>
    </w:p>
    <w:p w14:paraId="00000029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Machinery and equipment supply contracts: Procurement, supply and installation of equipment in the field of renewable energy</w:t>
      </w:r>
    </w:p>
    <w:p w14:paraId="0000002A" w14:textId="0AAC4B51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776B9">
        <w:rPr>
          <w:rFonts w:ascii="Arial" w:hAnsi="Arial" w:cs="Arial"/>
          <w:color w:val="010000"/>
          <w:sz w:val="20"/>
        </w:rPr>
        <w:t xml:space="preserve">Short-term loan contracts carrying out internal capital coordination with relevant Parties/Units of </w:t>
      </w:r>
      <w:proofErr w:type="spellStart"/>
      <w:r w:rsidR="00E776B9" w:rsidRPr="00E776B9">
        <w:rPr>
          <w:rFonts w:ascii="Arial" w:hAnsi="Arial" w:cs="Arial"/>
          <w:color w:val="010000"/>
          <w:sz w:val="20"/>
        </w:rPr>
        <w:t>Gia</w:t>
      </w:r>
      <w:proofErr w:type="spellEnd"/>
      <w:r w:rsidR="00E776B9" w:rsidRPr="00E776B9">
        <w:rPr>
          <w:rFonts w:ascii="Arial" w:hAnsi="Arial" w:cs="Arial"/>
          <w:color w:val="010000"/>
          <w:sz w:val="20"/>
        </w:rPr>
        <w:t xml:space="preserve"> Lai Electricity JSC</w:t>
      </w:r>
      <w:r w:rsidRPr="00E776B9">
        <w:rPr>
          <w:rFonts w:ascii="Arial" w:hAnsi="Arial" w:cs="Arial"/>
          <w:color w:val="010000"/>
          <w:sz w:val="20"/>
        </w:rPr>
        <w:t xml:space="preserve"> (GEC) to increase capital use efficiency.</w:t>
      </w:r>
    </w:p>
    <w:p w14:paraId="0000002B" w14:textId="77777777" w:rsidR="00926A7C" w:rsidRPr="00E776B9" w:rsidRDefault="00DD6A86" w:rsidP="00450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Other contracts arise from the actual needs of the Company.</w:t>
      </w:r>
    </w:p>
    <w:p w14:paraId="0000002C" w14:textId="77777777" w:rsidR="00926A7C" w:rsidRPr="00E776B9" w:rsidRDefault="00DD6A86" w:rsidP="00450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General principle: Ensure benefits between the Parties, and avoid conflicts of interest and the most competitive costs.</w:t>
      </w:r>
    </w:p>
    <w:p w14:paraId="0000002D" w14:textId="77777777" w:rsidR="00926A7C" w:rsidRPr="00E776B9" w:rsidRDefault="00DD6A86" w:rsidP="00450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Signing authorities: According to current regulations of the Company.</w:t>
      </w:r>
    </w:p>
    <w:p w14:paraId="0000002E" w14:textId="77777777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lastRenderedPageBreak/>
        <w:t>‎‎Article 2. Terms of enforcement</w:t>
      </w:r>
    </w:p>
    <w:p w14:paraId="0000002F" w14:textId="33062C22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 xml:space="preserve">This </w:t>
      </w:r>
      <w:r w:rsidR="00450496">
        <w:rPr>
          <w:rFonts w:ascii="Arial" w:hAnsi="Arial" w:cs="Arial"/>
          <w:color w:val="010000"/>
          <w:sz w:val="20"/>
        </w:rPr>
        <w:t xml:space="preserve">Board </w:t>
      </w:r>
      <w:r w:rsidRPr="00E776B9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30" w14:textId="56E651B8" w:rsidR="00926A7C" w:rsidRPr="00E776B9" w:rsidRDefault="00DD6A86" w:rsidP="004504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6B9">
        <w:rPr>
          <w:rFonts w:ascii="Arial" w:hAnsi="Arial" w:cs="Arial"/>
          <w:color w:val="010000"/>
          <w:sz w:val="20"/>
        </w:rPr>
        <w:t>Member</w:t>
      </w:r>
      <w:r w:rsidR="00450496">
        <w:rPr>
          <w:rFonts w:ascii="Arial" w:hAnsi="Arial" w:cs="Arial"/>
          <w:color w:val="010000"/>
          <w:sz w:val="20"/>
        </w:rPr>
        <w:t>s of the Board of Directors and</w:t>
      </w:r>
      <w:bookmarkStart w:id="0" w:name="_GoBack"/>
      <w:bookmarkEnd w:id="0"/>
      <w:r w:rsidRPr="00E776B9">
        <w:rPr>
          <w:rFonts w:ascii="Arial" w:hAnsi="Arial" w:cs="Arial"/>
          <w:color w:val="010000"/>
          <w:sz w:val="20"/>
        </w:rPr>
        <w:t xml:space="preserve"> Executive Board and all employees of the Company are responsible for implementing this Resolution.</w:t>
      </w:r>
    </w:p>
    <w:sectPr w:rsidR="00926A7C" w:rsidRPr="00E776B9" w:rsidSect="00DD6A8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173"/>
    <w:multiLevelType w:val="multilevel"/>
    <w:tmpl w:val="E9223A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B35620"/>
    <w:multiLevelType w:val="multilevel"/>
    <w:tmpl w:val="69A664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043484"/>
    <w:multiLevelType w:val="multilevel"/>
    <w:tmpl w:val="E58A8F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5679BA"/>
    <w:multiLevelType w:val="multilevel"/>
    <w:tmpl w:val="5C98B6A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C"/>
    <w:rsid w:val="00450496"/>
    <w:rsid w:val="008402B7"/>
    <w:rsid w:val="00926A7C"/>
    <w:rsid w:val="00DD6A86"/>
    <w:rsid w:val="00E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127C9"/>
  <w15:docId w15:val="{83C8B826-2D04-4823-9CE0-F9AB42F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343" w:lineRule="auto"/>
      <w:ind w:firstLine="3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vua9zH/c91wLAFfETHycQNdYrw==">CgMxLjA4AHIhMV9IaXNUelJMZnVrZGZRTmNLM3lKMGlDUmtNeFRmal9f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2024-03-13T02:57:00Z</dcterms:created>
  <dcterms:modified xsi:type="dcterms:W3CDTF">2024-03-13T02:57:00Z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e080ee0c472ffd4d94f77f358653c8579a91800afa9f3dc661c6478805586e6d</vt:lpwstr>
  </property>
</Properties>
</file>