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6367" w:rsidRPr="00CE04A9" w:rsidRDefault="00C014B3" w:rsidP="008113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E04A9">
        <w:rPr>
          <w:rFonts w:ascii="Arial" w:hAnsi="Arial" w:cs="Arial"/>
          <w:b/>
          <w:color w:val="010000"/>
          <w:sz w:val="20"/>
        </w:rPr>
        <w:t>RCL: Board Resolution</w:t>
      </w:r>
    </w:p>
    <w:p w14:paraId="00000002" w14:textId="77777777" w:rsidR="00F86367" w:rsidRPr="00CE04A9" w:rsidRDefault="00C014B3" w:rsidP="008113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>On March 08, 2024, Cho Lon Real Estate JSC announced Resolution No. 06/NQ-HDQT as follows:</w:t>
      </w:r>
    </w:p>
    <w:p w14:paraId="00000003" w14:textId="342574CD" w:rsidR="00F86367" w:rsidRPr="00CE04A9" w:rsidRDefault="00C014B3" w:rsidP="008113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>Article 1: The Board of Directors approved record</w:t>
      </w:r>
      <w:r w:rsidR="00CE04A9" w:rsidRPr="00CE04A9">
        <w:rPr>
          <w:rFonts w:ascii="Arial" w:hAnsi="Arial" w:cs="Arial"/>
          <w:color w:val="010000"/>
          <w:sz w:val="20"/>
        </w:rPr>
        <w:t>ing the</w:t>
      </w:r>
      <w:r w:rsidRPr="00CE04A9">
        <w:rPr>
          <w:rFonts w:ascii="Arial" w:hAnsi="Arial" w:cs="Arial"/>
          <w:color w:val="010000"/>
          <w:sz w:val="20"/>
        </w:rPr>
        <w:t xml:space="preserve"> list of shareholders for </w:t>
      </w:r>
      <w:r w:rsidR="00CE04A9" w:rsidRPr="00CE04A9">
        <w:rPr>
          <w:rFonts w:ascii="Arial" w:hAnsi="Arial" w:cs="Arial"/>
          <w:color w:val="010000"/>
          <w:sz w:val="20"/>
        </w:rPr>
        <w:t xml:space="preserve">the </w:t>
      </w:r>
      <w:r w:rsidRPr="00CE04A9">
        <w:rPr>
          <w:rFonts w:ascii="Arial" w:hAnsi="Arial" w:cs="Arial"/>
          <w:color w:val="010000"/>
          <w:sz w:val="20"/>
        </w:rPr>
        <w:t>Annual General Meeting of Shareholders 2024 as follows:</w:t>
      </w:r>
    </w:p>
    <w:p w14:paraId="00000004" w14:textId="1399C446" w:rsidR="00F86367" w:rsidRPr="00CE04A9" w:rsidRDefault="00C014B3" w:rsidP="00811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>Time to record the list of shareholders: March 28, 2024.</w:t>
      </w:r>
    </w:p>
    <w:p w14:paraId="00000005" w14:textId="0D0B7997" w:rsidR="00F86367" w:rsidRPr="00CE04A9" w:rsidRDefault="00C014B3" w:rsidP="008113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 xml:space="preserve">Organization date: Expected by the </w:t>
      </w:r>
      <w:bookmarkStart w:id="0" w:name="_GoBack"/>
      <w:bookmarkEnd w:id="0"/>
      <w:r w:rsidRPr="00CE04A9">
        <w:rPr>
          <w:rFonts w:ascii="Arial" w:hAnsi="Arial" w:cs="Arial"/>
          <w:color w:val="010000"/>
          <w:sz w:val="20"/>
        </w:rPr>
        <w:t>end of April 2024 (The Company will announce specific detail in the invitation letter).</w:t>
      </w:r>
    </w:p>
    <w:p w14:paraId="00000006" w14:textId="77777777" w:rsidR="00F86367" w:rsidRPr="00CE04A9" w:rsidRDefault="00C014B3" w:rsidP="008113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>Article 2: The legal representative of the Company, the Board of Management and related departments are assigned to implement the contents of this Resolution in accordance with the provisions of law.</w:t>
      </w:r>
    </w:p>
    <w:p w14:paraId="00000007" w14:textId="77777777" w:rsidR="00F86367" w:rsidRPr="00CE04A9" w:rsidRDefault="00C014B3" w:rsidP="008113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E04A9">
        <w:rPr>
          <w:rFonts w:ascii="Arial" w:hAnsi="Arial" w:cs="Arial"/>
          <w:color w:val="010000"/>
          <w:sz w:val="20"/>
        </w:rPr>
        <w:t>This Board Resolution takes effect from the date of its signing;</w:t>
      </w:r>
    </w:p>
    <w:sectPr w:rsidR="00F86367" w:rsidRPr="00CE04A9" w:rsidSect="00C014B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8F1"/>
    <w:multiLevelType w:val="multilevel"/>
    <w:tmpl w:val="29AAA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67"/>
    <w:rsid w:val="008113EB"/>
    <w:rsid w:val="00C014B3"/>
    <w:rsid w:val="00CE04A9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6B1B6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32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ind w:firstLine="3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3M+LuH1WieaDkc1l5Qh03lXnYA==">CgMxLjA4AHIhMWhuUVpWZ2ZJaDlWU3MwTmIzWGFvdENpWEVTdy1RUUVB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2024-03-12T04:08:00Z</dcterms:created>
  <dcterms:modified xsi:type="dcterms:W3CDTF">2024-03-13T09:10:00Z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3e6ccb5d9b887f590e6975bbd03244900f4632c35f96841a2dc480083ae56865</vt:lpwstr>
  </property>
</Properties>
</file>