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6EE1" w14:textId="2F14DA97" w:rsidR="00DC5467" w:rsidRPr="00C553AF" w:rsidRDefault="002239AC" w:rsidP="005B2E59">
      <w:pPr>
        <w:pStyle w:val="Tiu20"/>
        <w:keepNext/>
        <w:spacing w:after="120" w:line="360" w:lineRule="auto"/>
        <w:ind w:left="0"/>
        <w:jc w:val="both"/>
        <w:outlineLvl w:val="9"/>
        <w:rPr>
          <w:rFonts w:ascii="Arial" w:hAnsi="Arial" w:cs="Arial"/>
          <w:color w:val="010000"/>
          <w:sz w:val="20"/>
          <w:szCs w:val="20"/>
        </w:rPr>
      </w:pPr>
      <w:r w:rsidRPr="00C553AF">
        <w:rPr>
          <w:rFonts w:ascii="Arial" w:hAnsi="Arial" w:cs="Arial"/>
          <w:color w:val="010000"/>
          <w:sz w:val="20"/>
        </w:rPr>
        <w:t xml:space="preserve">CDG: Board Resolution </w:t>
      </w:r>
    </w:p>
    <w:p w14:paraId="398427DC" w14:textId="6260D743" w:rsidR="002239AC" w:rsidRPr="00C553AF" w:rsidRDefault="002239AC" w:rsidP="005B2E59">
      <w:pPr>
        <w:pStyle w:val="Tiu20"/>
        <w:keepNext/>
        <w:spacing w:after="120" w:line="360" w:lineRule="auto"/>
        <w:ind w:left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53AF">
        <w:rPr>
          <w:rFonts w:ascii="Arial" w:hAnsi="Arial" w:cs="Arial"/>
          <w:b w:val="0"/>
          <w:color w:val="010000"/>
          <w:sz w:val="20"/>
        </w:rPr>
        <w:t>On January 13, 2024, Cau Duong Joint Stock Company announced Resolution No. 36/NQ-HDQT as follows:</w:t>
      </w:r>
    </w:p>
    <w:p w14:paraId="10A366D6" w14:textId="610B64BF" w:rsidR="00DC5467" w:rsidRPr="00C553AF" w:rsidRDefault="00984697" w:rsidP="005B2E59">
      <w:pPr>
        <w:pStyle w:val="Tiu40"/>
        <w:keepNext/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53AF">
        <w:rPr>
          <w:rFonts w:ascii="Arial" w:hAnsi="Arial" w:cs="Arial"/>
          <w:b w:val="0"/>
          <w:color w:val="010000"/>
          <w:sz w:val="20"/>
        </w:rPr>
        <w:t>‎‎Article 1. As for the production and business plan in 2024:</w:t>
      </w:r>
    </w:p>
    <w:p w14:paraId="67ACE2F3" w14:textId="44393569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 xml:space="preserve">As for the production and business plan at the Unburnt </w:t>
      </w:r>
      <w:r w:rsidR="00D94718" w:rsidRPr="00C553AF">
        <w:rPr>
          <w:rFonts w:ascii="Arial" w:hAnsi="Arial" w:cs="Arial"/>
          <w:color w:val="010000"/>
        </w:rPr>
        <w:t xml:space="preserve">Brick </w:t>
      </w:r>
      <w:r w:rsidRPr="00C553AF">
        <w:rPr>
          <w:rFonts w:ascii="Arial" w:hAnsi="Arial" w:cs="Arial"/>
          <w:color w:val="010000"/>
        </w:rPr>
        <w:t>Factory: During the extension period for the partner who is producing unburned bricks, if someone e</w:t>
      </w:r>
      <w:r w:rsidR="00D94718" w:rsidRPr="00C553AF">
        <w:rPr>
          <w:rFonts w:ascii="Arial" w:hAnsi="Arial" w:cs="Arial"/>
          <w:color w:val="010000"/>
        </w:rPr>
        <w:t>l</w:t>
      </w:r>
      <w:r w:rsidRPr="00C553AF">
        <w:rPr>
          <w:rFonts w:ascii="Arial" w:hAnsi="Arial" w:cs="Arial"/>
          <w:color w:val="010000"/>
        </w:rPr>
        <w:t xml:space="preserve">se rents </w:t>
      </w:r>
      <w:r w:rsidR="00C553AF" w:rsidRPr="00C553AF">
        <w:rPr>
          <w:rFonts w:ascii="Arial" w:hAnsi="Arial" w:cs="Arial"/>
          <w:color w:val="010000"/>
        </w:rPr>
        <w:t>the factory</w:t>
      </w:r>
      <w:r w:rsidRPr="00C553AF">
        <w:rPr>
          <w:rFonts w:ascii="Arial" w:hAnsi="Arial" w:cs="Arial"/>
          <w:color w:val="010000"/>
        </w:rPr>
        <w:t xml:space="preserve">, the Board of Directors approves for the Executive Board to lease the Unburnt </w:t>
      </w:r>
      <w:r w:rsidR="00D94718" w:rsidRPr="00C553AF">
        <w:rPr>
          <w:rFonts w:ascii="Arial" w:hAnsi="Arial" w:cs="Arial"/>
          <w:color w:val="010000"/>
        </w:rPr>
        <w:t xml:space="preserve">Brick </w:t>
      </w:r>
      <w:r w:rsidRPr="00C553AF">
        <w:rPr>
          <w:rFonts w:ascii="Arial" w:hAnsi="Arial" w:cs="Arial"/>
          <w:color w:val="010000"/>
        </w:rPr>
        <w:t xml:space="preserve">Factory for a cooperation period of no more than 3 years; minimum price VND 20,000/m2 excluding VAT; If the contract must be terminated before the deadline due to force majeure, the Company will arrange the relocation </w:t>
      </w:r>
      <w:r w:rsidR="00C553AF" w:rsidRPr="00C553AF">
        <w:rPr>
          <w:rFonts w:ascii="Arial" w:hAnsi="Arial" w:cs="Arial"/>
          <w:color w:val="010000"/>
        </w:rPr>
        <w:t>or reimburse</w:t>
      </w:r>
      <w:r w:rsidRPr="00C553AF">
        <w:rPr>
          <w:rFonts w:ascii="Arial" w:hAnsi="Arial" w:cs="Arial"/>
          <w:color w:val="010000"/>
        </w:rPr>
        <w:t xml:space="preserve"> 1 to 2 months of rent for the partner to move.</w:t>
      </w:r>
    </w:p>
    <w:p w14:paraId="6E8B81DB" w14:textId="37171B75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 xml:space="preserve">Product quality at Mai Lam Factory is still low, the Executive Board reviews the staffing stage, the management process of buying and selling materials, </w:t>
      </w:r>
      <w:r w:rsidR="0011502C">
        <w:rPr>
          <w:rFonts w:ascii="Arial" w:hAnsi="Arial" w:cs="Arial"/>
          <w:color w:val="010000"/>
        </w:rPr>
        <w:t xml:space="preserve">and </w:t>
      </w:r>
      <w:r w:rsidRPr="00C553AF">
        <w:rPr>
          <w:rFonts w:ascii="Arial" w:hAnsi="Arial" w:cs="Arial"/>
          <w:color w:val="010000"/>
        </w:rPr>
        <w:t>mixing materials... to make appropriate adjustments and improve the efficiency of production and business of burnt construction materials.</w:t>
      </w:r>
    </w:p>
    <w:p w14:paraId="790198E1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The Board of Directors approves the policy on the plan targets in 2024.</w:t>
      </w:r>
    </w:p>
    <w:p w14:paraId="4B12887E" w14:textId="77777777" w:rsidR="002239AC" w:rsidRPr="00C553AF" w:rsidRDefault="00984697" w:rsidP="005B2E5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Approximate revenue: VND 33.032 billion.</w:t>
      </w:r>
    </w:p>
    <w:p w14:paraId="69F12FE6" w14:textId="77777777" w:rsidR="002239AC" w:rsidRPr="00C553AF" w:rsidRDefault="00984697" w:rsidP="005B2E5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Approximate profit: VND 3.629 billion.</w:t>
      </w:r>
    </w:p>
    <w:p w14:paraId="01CEA145" w14:textId="4BE39429" w:rsidR="002239AC" w:rsidRPr="00C553AF" w:rsidRDefault="00984697" w:rsidP="005B2E5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Payable to the state budget: 100% as prescribed.</w:t>
      </w:r>
    </w:p>
    <w:p w14:paraId="79F92F1D" w14:textId="0948A409" w:rsidR="002239AC" w:rsidRPr="00C553AF" w:rsidRDefault="00984697" w:rsidP="005B2E5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Approximate average income of workers: VND 5.5 million/person/month.</w:t>
      </w:r>
    </w:p>
    <w:p w14:paraId="6114D8CF" w14:textId="42C99EF2" w:rsidR="00DC5467" w:rsidRPr="00C553AF" w:rsidRDefault="00984697" w:rsidP="005B2E59">
      <w:pPr>
        <w:pStyle w:val="Vnbnnidung0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Request the Executive Board to continue to research and complete the plan to submit to the Annual General Meeting of Shareholders 2024 for official approval.</w:t>
      </w:r>
    </w:p>
    <w:p w14:paraId="77CE5DA1" w14:textId="79FA88B1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 xml:space="preserve">The Board of Directors agrees to increase salaries for managers by 15% from January 1, 2024. In 2024, if the loss of burned construction materials is less than 550 million, the benefit </w:t>
      </w:r>
      <w:r w:rsidR="00C553AF" w:rsidRPr="00C553AF">
        <w:rPr>
          <w:rFonts w:ascii="Arial" w:hAnsi="Arial" w:cs="Arial"/>
          <w:color w:val="010000"/>
        </w:rPr>
        <w:t>can</w:t>
      </w:r>
      <w:r w:rsidRPr="00C553AF">
        <w:rPr>
          <w:rFonts w:ascii="Arial" w:hAnsi="Arial" w:cs="Arial"/>
          <w:color w:val="010000"/>
        </w:rPr>
        <w:t xml:space="preserve"> be</w:t>
      </w:r>
      <w:r w:rsidR="00C553AF" w:rsidRPr="00C553AF">
        <w:rPr>
          <w:rFonts w:ascii="Arial" w:hAnsi="Arial" w:cs="Arial"/>
          <w:color w:val="010000"/>
        </w:rPr>
        <w:t xml:space="preserve"> fully earned</w:t>
      </w:r>
      <w:r w:rsidRPr="00C553AF">
        <w:rPr>
          <w:rFonts w:ascii="Arial" w:hAnsi="Arial" w:cs="Arial"/>
          <w:color w:val="010000"/>
        </w:rPr>
        <w:t>.</w:t>
      </w:r>
    </w:p>
    <w:p w14:paraId="42EAE0ED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The Executive Board considers increasing income by about 10% for workers to ensure the general standard of society and balance between managers, employees and workers.</w:t>
      </w:r>
    </w:p>
    <w:p w14:paraId="47C3AC41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The Board of Directors requests the Executive Board to continue handling the collection of outstanding debts according to the provisions of law.</w:t>
      </w:r>
    </w:p>
    <w:p w14:paraId="38B41062" w14:textId="0BF197B2" w:rsidR="00DC5467" w:rsidRPr="00C553AF" w:rsidRDefault="00984697" w:rsidP="005B2E5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‎‎Article 2. As for the preparation of the General Meeting of Shareholders 2024.</w:t>
      </w:r>
    </w:p>
    <w:p w14:paraId="6EE5401D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Time: April 26, 2024 (expected)</w:t>
      </w:r>
    </w:p>
    <w:p w14:paraId="6BD9816F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Record date to exercise the right to attend the Annual General Meeting of Shareholders 2024: April 01, 2024.</w:t>
      </w:r>
    </w:p>
    <w:p w14:paraId="1247648E" w14:textId="77777777" w:rsidR="00DC5467" w:rsidRPr="00C553AF" w:rsidRDefault="00984697" w:rsidP="005B2E59">
      <w:pPr>
        <w:pStyle w:val="Vnbnnidung0"/>
        <w:numPr>
          <w:ilvl w:val="0"/>
          <w:numId w:val="1"/>
        </w:numPr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As for the Term Summary Report of the Executive Board:</w:t>
      </w:r>
    </w:p>
    <w:p w14:paraId="53E85249" w14:textId="77777777" w:rsidR="002239AC" w:rsidRPr="00C553AF" w:rsidRDefault="00984697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Additional review of the 2019-2024 term.</w:t>
      </w:r>
    </w:p>
    <w:p w14:paraId="4252DD92" w14:textId="77777777" w:rsidR="002239AC" w:rsidRPr="00C553AF" w:rsidRDefault="002239AC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lastRenderedPageBreak/>
        <w:t>Additional orientation for the 2024-2029 term.</w:t>
      </w:r>
    </w:p>
    <w:p w14:paraId="010C21B8" w14:textId="77777777" w:rsidR="002239AC" w:rsidRPr="00C553AF" w:rsidRDefault="00984697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The Executive Board researches new high-value commercial products to replace ineffective old products.</w:t>
      </w:r>
    </w:p>
    <w:p w14:paraId="28216383" w14:textId="77777777" w:rsidR="002239AC" w:rsidRPr="00C553AF" w:rsidRDefault="00984697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Expected use of each land area.</w:t>
      </w:r>
    </w:p>
    <w:p w14:paraId="12630DD1" w14:textId="0C8527C1" w:rsidR="002239AC" w:rsidRPr="00C553AF" w:rsidRDefault="00984697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 xml:space="preserve">Proactively apply to be an investor in the land area of Duc Tu Commune and Mai Lam Commune, plan financial solutions, hire a consulting unit..., </w:t>
      </w:r>
      <w:r w:rsidR="0011502C">
        <w:rPr>
          <w:rFonts w:ascii="Arial" w:hAnsi="Arial" w:cs="Arial"/>
          <w:color w:val="010000"/>
        </w:rPr>
        <w:t xml:space="preserve">and </w:t>
      </w:r>
      <w:r w:rsidRPr="00C553AF">
        <w:rPr>
          <w:rFonts w:ascii="Arial" w:hAnsi="Arial" w:cs="Arial"/>
          <w:color w:val="010000"/>
        </w:rPr>
        <w:t>submit to the General Meeting of Shareholders for consideration and decision.</w:t>
      </w:r>
    </w:p>
    <w:p w14:paraId="14C737BC" w14:textId="38F2410A" w:rsidR="00DC5467" w:rsidRPr="00C553AF" w:rsidRDefault="00984697" w:rsidP="005B2E59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At Cau Duong Factory: The Executive Board renovates the</w:t>
      </w:r>
      <w:r w:rsidR="00C553AF" w:rsidRPr="00C553AF">
        <w:rPr>
          <w:rFonts w:ascii="Arial" w:hAnsi="Arial" w:cs="Arial"/>
          <w:color w:val="010000"/>
        </w:rPr>
        <w:t xml:space="preserve"> raw</w:t>
      </w:r>
      <w:r w:rsidRPr="00C553AF">
        <w:rPr>
          <w:rFonts w:ascii="Arial" w:hAnsi="Arial" w:cs="Arial"/>
          <w:color w:val="010000"/>
        </w:rPr>
        <w:t xml:space="preserve"> brick drying house according to the planning approved by the Board of Directors.</w:t>
      </w:r>
    </w:p>
    <w:p w14:paraId="39B1E078" w14:textId="77777777" w:rsidR="00DC5467" w:rsidRPr="00C553AF" w:rsidRDefault="00984697" w:rsidP="005B2E59">
      <w:pPr>
        <w:pStyle w:val="Tiu40"/>
        <w:keepNext/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53AF">
        <w:rPr>
          <w:rFonts w:ascii="Arial" w:hAnsi="Arial" w:cs="Arial"/>
          <w:b w:val="0"/>
          <w:color w:val="010000"/>
          <w:sz w:val="20"/>
        </w:rPr>
        <w:t>Article 3. As for the organization of a customer conference and Lunar New Year:</w:t>
      </w:r>
    </w:p>
    <w:p w14:paraId="77FD25C5" w14:textId="6B52DF31" w:rsidR="00DC5467" w:rsidRPr="00C553AF" w:rsidRDefault="00984697" w:rsidP="005B2E59">
      <w:pPr>
        <w:pStyle w:val="Vnbnnidung0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Organize a customer conference on January 27, 2024</w:t>
      </w:r>
      <w:r w:rsidR="0011502C">
        <w:rPr>
          <w:rFonts w:ascii="Arial" w:hAnsi="Arial" w:cs="Arial"/>
          <w:color w:val="010000"/>
        </w:rPr>
        <w:t>,</w:t>
      </w:r>
      <w:bookmarkStart w:id="0" w:name="_GoBack"/>
      <w:bookmarkEnd w:id="0"/>
      <w:r w:rsidRPr="00C553AF">
        <w:rPr>
          <w:rFonts w:ascii="Arial" w:hAnsi="Arial" w:cs="Arial"/>
          <w:color w:val="010000"/>
        </w:rPr>
        <w:t xml:space="preserve"> at the Company's 3rd floor office.</w:t>
      </w:r>
    </w:p>
    <w:p w14:paraId="459EF006" w14:textId="20A90707" w:rsidR="00DC5467" w:rsidRPr="00C553AF" w:rsidRDefault="00984697" w:rsidP="005B2E59">
      <w:pPr>
        <w:pStyle w:val="Vnbnnidung0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 xml:space="preserve">The Board of Directors agrees to pay employees an average </w:t>
      </w:r>
      <w:r w:rsidR="00C553AF" w:rsidRPr="00C553AF">
        <w:rPr>
          <w:rFonts w:ascii="Arial" w:hAnsi="Arial" w:cs="Arial"/>
          <w:color w:val="010000"/>
        </w:rPr>
        <w:t>13th-month</w:t>
      </w:r>
      <w:r w:rsidRPr="00C553AF">
        <w:rPr>
          <w:rFonts w:ascii="Arial" w:hAnsi="Arial" w:cs="Arial"/>
          <w:color w:val="010000"/>
        </w:rPr>
        <w:t xml:space="preserve"> salary of VND 4,500,000/person.</w:t>
      </w:r>
    </w:p>
    <w:p w14:paraId="7D6B00F3" w14:textId="77777777" w:rsidR="00DC5467" w:rsidRPr="00C553AF" w:rsidRDefault="00984697" w:rsidP="005B2E5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‎‎Article 4. Implementation organization:</w:t>
      </w:r>
    </w:p>
    <w:p w14:paraId="0D106444" w14:textId="430CA5D2" w:rsidR="00DC5467" w:rsidRPr="00C553AF" w:rsidRDefault="00984697" w:rsidP="005B2E59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</w:rPr>
      </w:pPr>
      <w:r w:rsidRPr="00C553AF">
        <w:rPr>
          <w:rFonts w:ascii="Arial" w:hAnsi="Arial" w:cs="Arial"/>
          <w:color w:val="010000"/>
        </w:rPr>
        <w:t>Members of the Board of Directors must comply with the contents decided in this Resolution.</w:t>
      </w:r>
    </w:p>
    <w:sectPr w:rsidR="00DC5467" w:rsidRPr="00C553AF" w:rsidSect="00A87B3F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EC6E6" w14:textId="77777777" w:rsidR="008F3DE1" w:rsidRDefault="008F3DE1">
      <w:r>
        <w:separator/>
      </w:r>
    </w:p>
  </w:endnote>
  <w:endnote w:type="continuationSeparator" w:id="0">
    <w:p w14:paraId="2CB6CBFC" w14:textId="77777777" w:rsidR="008F3DE1" w:rsidRDefault="008F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C698E" w14:textId="77777777" w:rsidR="008F3DE1" w:rsidRDefault="008F3DE1"/>
  </w:footnote>
  <w:footnote w:type="continuationSeparator" w:id="0">
    <w:p w14:paraId="52BE3C11" w14:textId="77777777" w:rsidR="008F3DE1" w:rsidRDefault="008F3D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71F5"/>
    <w:multiLevelType w:val="hybridMultilevel"/>
    <w:tmpl w:val="87C2A4A6"/>
    <w:lvl w:ilvl="0" w:tplc="E1DE8B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9BE2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7BC8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F1D"/>
    <w:multiLevelType w:val="multilevel"/>
    <w:tmpl w:val="E8B62946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21DC8"/>
    <w:multiLevelType w:val="hybridMultilevel"/>
    <w:tmpl w:val="06E28C5E"/>
    <w:lvl w:ilvl="0" w:tplc="7040D55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BB2B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EB2D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67"/>
    <w:rsid w:val="0011502C"/>
    <w:rsid w:val="001C6705"/>
    <w:rsid w:val="002239AC"/>
    <w:rsid w:val="00461C90"/>
    <w:rsid w:val="005A7B84"/>
    <w:rsid w:val="005B2E59"/>
    <w:rsid w:val="007D49C0"/>
    <w:rsid w:val="00873F0B"/>
    <w:rsid w:val="008F3DE1"/>
    <w:rsid w:val="00984697"/>
    <w:rsid w:val="00A87B3F"/>
    <w:rsid w:val="00C553AF"/>
    <w:rsid w:val="00D94718"/>
    <w:rsid w:val="00D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B98B8"/>
  <w15:docId w15:val="{12F2D977-C78A-40A8-A468-4D39582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B3A59"/>
      <w:sz w:val="24"/>
      <w:szCs w:val="2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30">
    <w:name w:val="Tiêu đề #3"/>
    <w:basedOn w:val="Normal"/>
    <w:link w:val="Tiu3"/>
    <w:pPr>
      <w:spacing w:line="247" w:lineRule="auto"/>
      <w:ind w:firstLine="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ind w:left="1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40">
    <w:name w:val="Tiêu đề #4"/>
    <w:basedOn w:val="Normal"/>
    <w:link w:val="Tiu4"/>
    <w:pPr>
      <w:spacing w:line="288" w:lineRule="auto"/>
      <w:ind w:left="530" w:firstLine="33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09" w:lineRule="auto"/>
      <w:jc w:val="right"/>
    </w:pPr>
    <w:rPr>
      <w:rFonts w:ascii="Arial" w:eastAsia="Arial" w:hAnsi="Arial" w:cs="Arial"/>
      <w:color w:val="DB3A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533</Words>
  <Characters>2751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2024-03-13T02:28:00Z</dcterms:created>
  <dcterms:modified xsi:type="dcterms:W3CDTF">2024-03-14T08:29:00Z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c1989b4655964e26a36765fa93ae81cd78c077a0da8d5b5a6f05600c4593c34c</vt:lpwstr>
  </property>
</Properties>
</file>