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138AF" w:rsidRPr="00AF78FA" w:rsidRDefault="00F463F2" w:rsidP="00791F48">
      <w:pPr>
        <w:pBdr>
          <w:top w:val="nil"/>
          <w:left w:val="nil"/>
          <w:bottom w:val="nil"/>
          <w:right w:val="nil"/>
          <w:between w:val="nil"/>
        </w:pBdr>
        <w:tabs>
          <w:tab w:val="left" w:pos="360"/>
          <w:tab w:val="left" w:pos="2309"/>
        </w:tabs>
        <w:spacing w:after="120" w:line="360" w:lineRule="auto"/>
        <w:jc w:val="both"/>
        <w:rPr>
          <w:rFonts w:ascii="Arial" w:eastAsia="Arial" w:hAnsi="Arial" w:cs="Arial"/>
          <w:b/>
          <w:color w:val="010000"/>
          <w:sz w:val="20"/>
          <w:szCs w:val="20"/>
        </w:rPr>
      </w:pPr>
      <w:r w:rsidRPr="00AF78FA">
        <w:rPr>
          <w:rFonts w:ascii="Arial" w:hAnsi="Arial" w:cs="Arial"/>
          <w:b/>
          <w:bCs/>
          <w:color w:val="010000"/>
          <w:sz w:val="20"/>
        </w:rPr>
        <w:t>CT6:</w:t>
      </w:r>
      <w:r w:rsidRPr="00AF78FA">
        <w:rPr>
          <w:rFonts w:ascii="Arial" w:hAnsi="Arial" w:cs="Arial"/>
          <w:b/>
          <w:color w:val="010000"/>
          <w:sz w:val="20"/>
        </w:rPr>
        <w:t xml:space="preserve"> Board Resolution</w:t>
      </w:r>
    </w:p>
    <w:p w14:paraId="00000002" w14:textId="77777777" w:rsidR="008138AF" w:rsidRPr="00AF78FA" w:rsidRDefault="00F463F2" w:rsidP="00791F48">
      <w:pPr>
        <w:pBdr>
          <w:top w:val="nil"/>
          <w:left w:val="nil"/>
          <w:bottom w:val="nil"/>
          <w:right w:val="nil"/>
          <w:between w:val="nil"/>
        </w:pBdr>
        <w:tabs>
          <w:tab w:val="left" w:pos="360"/>
          <w:tab w:val="left" w:pos="2309"/>
        </w:tabs>
        <w:spacing w:after="120" w:line="360" w:lineRule="auto"/>
        <w:jc w:val="both"/>
        <w:rPr>
          <w:rFonts w:ascii="Arial" w:eastAsia="Arial" w:hAnsi="Arial" w:cs="Arial"/>
          <w:color w:val="010000"/>
          <w:sz w:val="20"/>
          <w:szCs w:val="20"/>
        </w:rPr>
      </w:pPr>
      <w:r w:rsidRPr="00AF78FA">
        <w:rPr>
          <w:rFonts w:ascii="Arial" w:hAnsi="Arial" w:cs="Arial"/>
          <w:color w:val="010000"/>
          <w:sz w:val="20"/>
        </w:rPr>
        <w:t>On March 12, 2024, Construction JSC No. 6 announced Resolution No. 14/NQ-HDQT as follows:</w:t>
      </w:r>
    </w:p>
    <w:p w14:paraId="00000003" w14:textId="77777777" w:rsidR="008138AF" w:rsidRPr="00AF78FA" w:rsidRDefault="00F463F2" w:rsidP="00791F4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F78FA">
        <w:rPr>
          <w:rFonts w:ascii="Arial" w:hAnsi="Arial" w:cs="Arial"/>
          <w:color w:val="010000"/>
          <w:sz w:val="20"/>
        </w:rPr>
        <w:t>‎‎Article 1. Approve the contents, reports, and documents related to the Annual General Meeting of Shareholders 2024 as follows:</w:t>
      </w:r>
    </w:p>
    <w:p w14:paraId="00000004" w14:textId="77777777" w:rsidR="008138AF" w:rsidRPr="00AF78FA" w:rsidRDefault="00F463F2" w:rsidP="00791F48">
      <w:pPr>
        <w:numPr>
          <w:ilvl w:val="0"/>
          <w:numId w:val="1"/>
        </w:numPr>
        <w:pBdr>
          <w:top w:val="nil"/>
          <w:left w:val="nil"/>
          <w:bottom w:val="nil"/>
          <w:right w:val="nil"/>
          <w:between w:val="nil"/>
        </w:pBdr>
        <w:tabs>
          <w:tab w:val="left" w:pos="360"/>
          <w:tab w:val="left" w:pos="2409"/>
        </w:tabs>
        <w:spacing w:after="120" w:line="360" w:lineRule="auto"/>
        <w:jc w:val="both"/>
        <w:rPr>
          <w:rFonts w:ascii="Arial" w:eastAsia="Arial" w:hAnsi="Arial" w:cs="Arial"/>
          <w:color w:val="010000"/>
          <w:sz w:val="20"/>
          <w:szCs w:val="20"/>
        </w:rPr>
      </w:pPr>
      <w:r w:rsidRPr="00AF78FA">
        <w:rPr>
          <w:rFonts w:ascii="Arial" w:hAnsi="Arial" w:cs="Arial"/>
          <w:color w:val="010000"/>
          <w:sz w:val="20"/>
        </w:rPr>
        <w:t>Time to organize the Annual General Meeting of Shareholders 2024 is on April 24, 2024 (Wednesday);</w:t>
      </w:r>
    </w:p>
    <w:p w14:paraId="00000005" w14:textId="77777777" w:rsidR="008138AF" w:rsidRPr="00AF78FA" w:rsidRDefault="00F463F2" w:rsidP="00791F48">
      <w:pPr>
        <w:numPr>
          <w:ilvl w:val="0"/>
          <w:numId w:val="1"/>
        </w:numPr>
        <w:pBdr>
          <w:top w:val="nil"/>
          <w:left w:val="nil"/>
          <w:bottom w:val="nil"/>
          <w:right w:val="nil"/>
          <w:between w:val="nil"/>
        </w:pBdr>
        <w:tabs>
          <w:tab w:val="left" w:pos="360"/>
          <w:tab w:val="left" w:pos="2414"/>
        </w:tabs>
        <w:spacing w:after="120" w:line="360" w:lineRule="auto"/>
        <w:jc w:val="both"/>
        <w:rPr>
          <w:rFonts w:ascii="Arial" w:eastAsia="Arial" w:hAnsi="Arial" w:cs="Arial"/>
          <w:color w:val="010000"/>
          <w:sz w:val="20"/>
          <w:szCs w:val="20"/>
        </w:rPr>
      </w:pPr>
      <w:r w:rsidRPr="00AF78FA">
        <w:rPr>
          <w:rFonts w:ascii="Arial" w:hAnsi="Arial" w:cs="Arial"/>
          <w:color w:val="010000"/>
          <w:sz w:val="20"/>
        </w:rPr>
        <w:t>Approve the working content of the Annual General Meeting of Shareholders 2024;</w:t>
      </w:r>
    </w:p>
    <w:p w14:paraId="00000006" w14:textId="77777777" w:rsidR="008138AF" w:rsidRPr="00AF78FA" w:rsidRDefault="00F463F2" w:rsidP="00791F48">
      <w:pPr>
        <w:numPr>
          <w:ilvl w:val="0"/>
          <w:numId w:val="1"/>
        </w:numPr>
        <w:pBdr>
          <w:top w:val="nil"/>
          <w:left w:val="nil"/>
          <w:bottom w:val="nil"/>
          <w:right w:val="nil"/>
          <w:between w:val="nil"/>
        </w:pBdr>
        <w:tabs>
          <w:tab w:val="left" w:pos="360"/>
          <w:tab w:val="left" w:pos="2850"/>
        </w:tabs>
        <w:spacing w:after="120" w:line="360" w:lineRule="auto"/>
        <w:jc w:val="both"/>
        <w:rPr>
          <w:rFonts w:ascii="Arial" w:eastAsia="Arial" w:hAnsi="Arial" w:cs="Arial"/>
          <w:color w:val="010000"/>
          <w:sz w:val="20"/>
          <w:szCs w:val="20"/>
        </w:rPr>
      </w:pPr>
      <w:r w:rsidRPr="00AF78FA">
        <w:rPr>
          <w:rFonts w:ascii="Arial" w:hAnsi="Arial" w:cs="Arial"/>
          <w:color w:val="010000"/>
          <w:sz w:val="20"/>
        </w:rPr>
        <w:t>Approve the Draft Report of the Board of Directors;</w:t>
      </w:r>
    </w:p>
    <w:p w14:paraId="00000007" w14:textId="6B25AB26" w:rsidR="008138AF" w:rsidRPr="00AF78FA" w:rsidRDefault="00F463F2" w:rsidP="00791F48">
      <w:pPr>
        <w:numPr>
          <w:ilvl w:val="0"/>
          <w:numId w:val="1"/>
        </w:numPr>
        <w:pBdr>
          <w:top w:val="nil"/>
          <w:left w:val="nil"/>
          <w:bottom w:val="nil"/>
          <w:right w:val="nil"/>
          <w:between w:val="nil"/>
        </w:pBdr>
        <w:tabs>
          <w:tab w:val="left" w:pos="360"/>
          <w:tab w:val="left" w:pos="2414"/>
        </w:tabs>
        <w:spacing w:after="120" w:line="360" w:lineRule="auto"/>
        <w:jc w:val="both"/>
        <w:rPr>
          <w:rFonts w:ascii="Arial" w:eastAsia="Arial" w:hAnsi="Arial" w:cs="Arial"/>
          <w:color w:val="010000"/>
          <w:sz w:val="20"/>
          <w:szCs w:val="20"/>
        </w:rPr>
      </w:pPr>
      <w:r w:rsidRPr="00AF78FA">
        <w:rPr>
          <w:rFonts w:ascii="Arial" w:hAnsi="Arial" w:cs="Arial"/>
          <w:color w:val="010000"/>
          <w:sz w:val="20"/>
        </w:rPr>
        <w:t xml:space="preserve">Approve the Draft Financial Statements - Production and business </w:t>
      </w:r>
      <w:r w:rsidR="00AF78FA" w:rsidRPr="00AF78FA">
        <w:rPr>
          <w:rFonts w:ascii="Arial" w:hAnsi="Arial" w:cs="Arial"/>
          <w:color w:val="010000"/>
          <w:sz w:val="20"/>
        </w:rPr>
        <w:t>results</w:t>
      </w:r>
      <w:r w:rsidRPr="00AF78FA">
        <w:rPr>
          <w:rFonts w:ascii="Arial" w:hAnsi="Arial" w:cs="Arial"/>
          <w:color w:val="010000"/>
          <w:sz w:val="20"/>
        </w:rPr>
        <w:t xml:space="preserve"> in 2023 and financial plan for 2024;</w:t>
      </w:r>
    </w:p>
    <w:p w14:paraId="00000008" w14:textId="77777777" w:rsidR="008138AF" w:rsidRPr="00AF78FA" w:rsidRDefault="00F463F2" w:rsidP="00791F48">
      <w:pPr>
        <w:numPr>
          <w:ilvl w:val="0"/>
          <w:numId w:val="1"/>
        </w:numPr>
        <w:pBdr>
          <w:top w:val="nil"/>
          <w:left w:val="nil"/>
          <w:bottom w:val="nil"/>
          <w:right w:val="nil"/>
          <w:between w:val="nil"/>
        </w:pBdr>
        <w:tabs>
          <w:tab w:val="left" w:pos="360"/>
          <w:tab w:val="left" w:pos="2870"/>
        </w:tabs>
        <w:spacing w:after="120" w:line="360" w:lineRule="auto"/>
        <w:jc w:val="both"/>
        <w:rPr>
          <w:rFonts w:ascii="Arial" w:eastAsia="Arial" w:hAnsi="Arial" w:cs="Arial"/>
          <w:color w:val="010000"/>
          <w:sz w:val="20"/>
          <w:szCs w:val="20"/>
        </w:rPr>
      </w:pPr>
      <w:r w:rsidRPr="00AF78FA">
        <w:rPr>
          <w:rFonts w:ascii="Arial" w:hAnsi="Arial" w:cs="Arial"/>
          <w:color w:val="010000"/>
          <w:sz w:val="20"/>
        </w:rPr>
        <w:t>Approve the Draft Report of the Supervisory Board;</w:t>
      </w:r>
    </w:p>
    <w:p w14:paraId="00000009" w14:textId="77777777" w:rsidR="008138AF" w:rsidRPr="00AF78FA" w:rsidRDefault="00F463F2" w:rsidP="00791F48">
      <w:pPr>
        <w:numPr>
          <w:ilvl w:val="0"/>
          <w:numId w:val="1"/>
        </w:numPr>
        <w:pBdr>
          <w:top w:val="nil"/>
          <w:left w:val="nil"/>
          <w:bottom w:val="nil"/>
          <w:right w:val="nil"/>
          <w:between w:val="nil"/>
        </w:pBdr>
        <w:tabs>
          <w:tab w:val="left" w:pos="360"/>
          <w:tab w:val="left" w:pos="2850"/>
        </w:tabs>
        <w:spacing w:after="120" w:line="360" w:lineRule="auto"/>
        <w:jc w:val="both"/>
        <w:rPr>
          <w:rFonts w:ascii="Arial" w:eastAsia="Arial" w:hAnsi="Arial" w:cs="Arial"/>
          <w:color w:val="010000"/>
          <w:sz w:val="20"/>
          <w:szCs w:val="20"/>
        </w:rPr>
      </w:pPr>
      <w:r w:rsidRPr="00AF78FA">
        <w:rPr>
          <w:rFonts w:ascii="Arial" w:hAnsi="Arial" w:cs="Arial"/>
          <w:color w:val="010000"/>
          <w:sz w:val="20"/>
        </w:rPr>
        <w:t>Approving the Draft Resolution of the General Meeting of Shareholders 2024.</w:t>
      </w:r>
    </w:p>
    <w:p w14:paraId="0000000A" w14:textId="77777777" w:rsidR="008138AF" w:rsidRPr="00AF78FA" w:rsidRDefault="00F463F2" w:rsidP="00791F4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F78FA">
        <w:rPr>
          <w:rFonts w:ascii="Arial" w:hAnsi="Arial" w:cs="Arial"/>
          <w:color w:val="010000"/>
          <w:sz w:val="20"/>
        </w:rPr>
        <w:t xml:space="preserve">Article 2. On job search activities for 2024-2025: Continue to engage with the Project Management Boards, Vietnam Railway Corporation, and management companies to seek job opportunities for the </w:t>
      </w:r>
      <w:proofErr w:type="gramStart"/>
      <w:r w:rsidRPr="00AF78FA">
        <w:rPr>
          <w:rFonts w:ascii="Arial" w:hAnsi="Arial" w:cs="Arial"/>
          <w:color w:val="010000"/>
          <w:sz w:val="20"/>
        </w:rPr>
        <w:t>period</w:t>
      </w:r>
      <w:proofErr w:type="gramEnd"/>
      <w:r w:rsidRPr="00AF78FA">
        <w:rPr>
          <w:rFonts w:ascii="Arial" w:hAnsi="Arial" w:cs="Arial"/>
          <w:color w:val="010000"/>
          <w:sz w:val="20"/>
        </w:rPr>
        <w:t xml:space="preserve"> of 2024-2025.</w:t>
      </w:r>
    </w:p>
    <w:p w14:paraId="0000000B" w14:textId="77777777" w:rsidR="008138AF" w:rsidRPr="00AF78FA" w:rsidRDefault="00F463F2" w:rsidP="00791F4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F78FA">
        <w:rPr>
          <w:rFonts w:ascii="Arial" w:hAnsi="Arial" w:cs="Arial"/>
          <w:color w:val="010000"/>
          <w:sz w:val="20"/>
        </w:rPr>
        <w:t>‎‎Article 3. Approve the proposed solution for the Company's land plots.</w:t>
      </w:r>
    </w:p>
    <w:p w14:paraId="0000000C" w14:textId="77777777" w:rsidR="008138AF" w:rsidRPr="00AF78FA" w:rsidRDefault="00F463F2" w:rsidP="00791F48">
      <w:pPr>
        <w:numPr>
          <w:ilvl w:val="0"/>
          <w:numId w:val="1"/>
        </w:numPr>
        <w:pBdr>
          <w:top w:val="nil"/>
          <w:left w:val="nil"/>
          <w:bottom w:val="nil"/>
          <w:right w:val="nil"/>
          <w:between w:val="nil"/>
        </w:pBdr>
        <w:tabs>
          <w:tab w:val="left" w:pos="360"/>
          <w:tab w:val="left" w:pos="2414"/>
        </w:tabs>
        <w:spacing w:after="120" w:line="360" w:lineRule="auto"/>
        <w:jc w:val="both"/>
        <w:rPr>
          <w:rFonts w:ascii="Arial" w:eastAsia="Arial" w:hAnsi="Arial" w:cs="Arial"/>
          <w:color w:val="010000"/>
          <w:sz w:val="20"/>
          <w:szCs w:val="20"/>
        </w:rPr>
      </w:pPr>
      <w:r w:rsidRPr="00AF78FA">
        <w:rPr>
          <w:rFonts w:ascii="Arial" w:hAnsi="Arial" w:cs="Arial"/>
          <w:color w:val="010000"/>
          <w:sz w:val="20"/>
        </w:rPr>
        <w:t>Company office’s land plot: Continue to plan and develop a proposal to attract investors for the effective exploitation of the land plot.</w:t>
      </w:r>
    </w:p>
    <w:p w14:paraId="0000000D" w14:textId="77777777" w:rsidR="008138AF" w:rsidRPr="00AF78FA" w:rsidRDefault="00F463F2" w:rsidP="00791F48">
      <w:pPr>
        <w:numPr>
          <w:ilvl w:val="0"/>
          <w:numId w:val="1"/>
        </w:numPr>
        <w:pBdr>
          <w:top w:val="nil"/>
          <w:left w:val="nil"/>
          <w:bottom w:val="nil"/>
          <w:right w:val="nil"/>
          <w:between w:val="nil"/>
        </w:pBdr>
        <w:tabs>
          <w:tab w:val="left" w:pos="360"/>
          <w:tab w:val="left" w:pos="2409"/>
        </w:tabs>
        <w:spacing w:after="120" w:line="360" w:lineRule="auto"/>
        <w:jc w:val="both"/>
        <w:rPr>
          <w:rFonts w:ascii="Arial" w:eastAsia="Arial" w:hAnsi="Arial" w:cs="Arial"/>
          <w:color w:val="010000"/>
          <w:sz w:val="20"/>
          <w:szCs w:val="20"/>
        </w:rPr>
      </w:pPr>
      <w:r w:rsidRPr="00AF78FA">
        <w:rPr>
          <w:rFonts w:ascii="Arial" w:hAnsi="Arial" w:cs="Arial"/>
          <w:color w:val="010000"/>
          <w:sz w:val="20"/>
        </w:rPr>
        <w:t>Viet Hung commune land plot (Materials &amp; Construction Enterprise): Continue to collect legal dossier and hire consultants to develop an outline and quote for the service of signing land lease contracts and issuing land use right certificates.</w:t>
      </w:r>
    </w:p>
    <w:p w14:paraId="0000000E" w14:textId="77777777" w:rsidR="008138AF" w:rsidRPr="00AF78FA" w:rsidRDefault="00F463F2" w:rsidP="00791F48">
      <w:pPr>
        <w:numPr>
          <w:ilvl w:val="0"/>
          <w:numId w:val="1"/>
        </w:numPr>
        <w:pBdr>
          <w:top w:val="nil"/>
          <w:left w:val="nil"/>
          <w:bottom w:val="nil"/>
          <w:right w:val="nil"/>
          <w:between w:val="nil"/>
        </w:pBdr>
        <w:tabs>
          <w:tab w:val="left" w:pos="360"/>
          <w:tab w:val="left" w:pos="2423"/>
        </w:tabs>
        <w:spacing w:after="120" w:line="360" w:lineRule="auto"/>
        <w:jc w:val="both"/>
        <w:rPr>
          <w:rFonts w:ascii="Arial" w:eastAsia="Arial" w:hAnsi="Arial" w:cs="Arial"/>
          <w:color w:val="010000"/>
          <w:sz w:val="20"/>
          <w:szCs w:val="20"/>
        </w:rPr>
      </w:pPr>
      <w:r w:rsidRPr="00AF78FA">
        <w:rPr>
          <w:rFonts w:ascii="Arial" w:hAnsi="Arial" w:cs="Arial"/>
          <w:color w:val="010000"/>
          <w:sz w:val="20"/>
        </w:rPr>
        <w:t>Land plot in Ho Chi Minh City: Actively cooperate with the consulting unit to carry out the procedures for transferring the name of the land lease contract and the land use right certificate to the name of Construction JSC No. 6 Develop an exploitation plan for the land when it meets the legal requirements.</w:t>
      </w:r>
    </w:p>
    <w:p w14:paraId="0000000F" w14:textId="77777777" w:rsidR="008138AF" w:rsidRPr="00AF78FA" w:rsidRDefault="00F463F2" w:rsidP="00791F48">
      <w:pPr>
        <w:numPr>
          <w:ilvl w:val="0"/>
          <w:numId w:val="1"/>
        </w:numPr>
        <w:pBdr>
          <w:top w:val="nil"/>
          <w:left w:val="nil"/>
          <w:bottom w:val="nil"/>
          <w:right w:val="nil"/>
          <w:between w:val="nil"/>
        </w:pBdr>
        <w:tabs>
          <w:tab w:val="left" w:pos="360"/>
          <w:tab w:val="left" w:pos="2409"/>
        </w:tabs>
        <w:spacing w:after="120" w:line="360" w:lineRule="auto"/>
        <w:jc w:val="both"/>
        <w:rPr>
          <w:rFonts w:ascii="Arial" w:eastAsia="Arial" w:hAnsi="Arial" w:cs="Arial"/>
          <w:color w:val="010000"/>
          <w:sz w:val="20"/>
          <w:szCs w:val="20"/>
        </w:rPr>
      </w:pPr>
      <w:proofErr w:type="spellStart"/>
      <w:r w:rsidRPr="00AF78FA">
        <w:rPr>
          <w:rFonts w:ascii="Arial" w:hAnsi="Arial" w:cs="Arial"/>
          <w:color w:val="010000"/>
          <w:sz w:val="20"/>
        </w:rPr>
        <w:t>Suoi</w:t>
      </w:r>
      <w:proofErr w:type="spellEnd"/>
      <w:r w:rsidRPr="00AF78FA">
        <w:rPr>
          <w:rFonts w:ascii="Arial" w:hAnsi="Arial" w:cs="Arial"/>
          <w:color w:val="010000"/>
          <w:sz w:val="20"/>
        </w:rPr>
        <w:t xml:space="preserve"> </w:t>
      </w:r>
      <w:proofErr w:type="spellStart"/>
      <w:r w:rsidRPr="00AF78FA">
        <w:rPr>
          <w:rFonts w:ascii="Arial" w:hAnsi="Arial" w:cs="Arial"/>
          <w:color w:val="010000"/>
          <w:sz w:val="20"/>
        </w:rPr>
        <w:t>Kiet</w:t>
      </w:r>
      <w:proofErr w:type="spellEnd"/>
      <w:r w:rsidRPr="00AF78FA">
        <w:rPr>
          <w:rFonts w:ascii="Arial" w:hAnsi="Arial" w:cs="Arial"/>
          <w:color w:val="010000"/>
          <w:sz w:val="20"/>
        </w:rPr>
        <w:t xml:space="preserve"> Quarry Project: Continue to coordinate with Mr. Hoang </w:t>
      </w:r>
      <w:proofErr w:type="spellStart"/>
      <w:r w:rsidRPr="00AF78FA">
        <w:rPr>
          <w:rFonts w:ascii="Arial" w:hAnsi="Arial" w:cs="Arial"/>
          <w:color w:val="010000"/>
          <w:sz w:val="20"/>
        </w:rPr>
        <w:t>Thanh</w:t>
      </w:r>
      <w:proofErr w:type="spellEnd"/>
      <w:r w:rsidRPr="00AF78FA">
        <w:rPr>
          <w:rFonts w:ascii="Arial" w:hAnsi="Arial" w:cs="Arial"/>
          <w:color w:val="010000"/>
          <w:sz w:val="20"/>
        </w:rPr>
        <w:t xml:space="preserve"> </w:t>
      </w:r>
      <w:proofErr w:type="spellStart"/>
      <w:r w:rsidRPr="00AF78FA">
        <w:rPr>
          <w:rFonts w:ascii="Arial" w:hAnsi="Arial" w:cs="Arial"/>
          <w:color w:val="010000"/>
          <w:sz w:val="20"/>
        </w:rPr>
        <w:t>Chuong</w:t>
      </w:r>
      <w:proofErr w:type="spellEnd"/>
      <w:r w:rsidRPr="00AF78FA">
        <w:rPr>
          <w:rFonts w:ascii="Arial" w:hAnsi="Arial" w:cs="Arial"/>
          <w:color w:val="010000"/>
          <w:sz w:val="20"/>
        </w:rPr>
        <w:t xml:space="preserve"> to complete the legal dossier for the final settlement of the Project.</w:t>
      </w:r>
    </w:p>
    <w:p w14:paraId="00000010" w14:textId="47C43E28" w:rsidR="008138AF" w:rsidRPr="00AF78FA" w:rsidRDefault="00F463F2" w:rsidP="00791F4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F78FA">
        <w:rPr>
          <w:rFonts w:ascii="Arial" w:hAnsi="Arial" w:cs="Arial"/>
          <w:color w:val="010000"/>
          <w:sz w:val="20"/>
        </w:rPr>
        <w:t xml:space="preserve">‎‎Article 4. Develop a plan to send workers to participate in training courses with certificates in rail welding operations </w:t>
      </w:r>
      <w:r w:rsidR="00791F48">
        <w:rPr>
          <w:rFonts w:ascii="Arial" w:hAnsi="Arial" w:cs="Arial"/>
          <w:color w:val="010000"/>
          <w:sz w:val="20"/>
        </w:rPr>
        <w:t>in</w:t>
      </w:r>
      <w:bookmarkStart w:id="0" w:name="_GoBack"/>
      <w:bookmarkEnd w:id="0"/>
      <w:r w:rsidRPr="00AF78FA">
        <w:rPr>
          <w:rFonts w:ascii="Arial" w:hAnsi="Arial" w:cs="Arial"/>
          <w:color w:val="010000"/>
          <w:sz w:val="20"/>
        </w:rPr>
        <w:t xml:space="preserve"> the field.</w:t>
      </w:r>
    </w:p>
    <w:p w14:paraId="00000011" w14:textId="77777777" w:rsidR="008138AF" w:rsidRPr="00AF78FA" w:rsidRDefault="00F463F2" w:rsidP="00791F4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F78FA">
        <w:rPr>
          <w:rFonts w:ascii="Arial" w:hAnsi="Arial" w:cs="Arial"/>
          <w:color w:val="010000"/>
          <w:sz w:val="20"/>
        </w:rPr>
        <w:t>‎‎Article 5. Agree to assign the Executive Board to coordinate with the Executive Committee of the Trade Union to organize the Company's Employee Conference according to regulations on the same day as the Annual General Meeting of Shareholders 2024.</w:t>
      </w:r>
    </w:p>
    <w:sectPr w:rsidR="008138AF" w:rsidRPr="00AF78FA" w:rsidSect="00F463F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B1A23"/>
    <w:multiLevelType w:val="multilevel"/>
    <w:tmpl w:val="B17ECCB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AF"/>
    <w:rsid w:val="00791F48"/>
    <w:rsid w:val="008138AF"/>
    <w:rsid w:val="00AF78FA"/>
    <w:rsid w:val="00B63F94"/>
    <w:rsid w:val="00F463F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36117E-0477-4C2A-BB15-6395528A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3B3F"/>
      <w:sz w:val="10"/>
      <w:szCs w:val="1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809"/>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E8656B"/>
      <w:sz w:val="19"/>
      <w:szCs w:val="19"/>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20"/>
      <w:szCs w:val="20"/>
      <w:u w:val="none"/>
    </w:rPr>
  </w:style>
  <w:style w:type="paragraph" w:styleId="BodyText">
    <w:name w:val="Body Text"/>
    <w:basedOn w:val="Normal"/>
    <w:link w:val="BodyTextChar"/>
    <w:qFormat/>
    <w:pPr>
      <w:spacing w:line="305"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line="233" w:lineRule="auto"/>
      <w:jc w:val="center"/>
      <w:outlineLvl w:val="0"/>
    </w:pPr>
    <w:rPr>
      <w:rFonts w:ascii="Times New Roman" w:eastAsia="Times New Roman" w:hAnsi="Times New Roman" w:cs="Times New Roman"/>
      <w:b/>
      <w:bCs/>
      <w:sz w:val="30"/>
      <w:szCs w:val="30"/>
    </w:rPr>
  </w:style>
  <w:style w:type="paragraph" w:customStyle="1" w:styleId="Heading21">
    <w:name w:val="Heading #2"/>
    <w:basedOn w:val="Normal"/>
    <w:link w:val="Heading20"/>
    <w:pPr>
      <w:spacing w:line="314" w:lineRule="auto"/>
      <w:ind w:left="3420" w:hanging="910"/>
      <w:outlineLvl w:val="1"/>
    </w:pPr>
    <w:rPr>
      <w:rFonts w:ascii="Times New Roman" w:eastAsia="Times New Roman" w:hAnsi="Times New Roman" w:cs="Times New Roman"/>
      <w:b/>
      <w:bCs/>
    </w:rPr>
  </w:style>
  <w:style w:type="paragraph" w:customStyle="1" w:styleId="Bodytext40">
    <w:name w:val="Body text (4)"/>
    <w:basedOn w:val="Normal"/>
    <w:link w:val="Bodytext4"/>
    <w:rPr>
      <w:rFonts w:ascii="Times New Roman" w:eastAsia="Times New Roman" w:hAnsi="Times New Roman" w:cs="Times New Roman"/>
      <w:color w:val="FF3B3F"/>
      <w:sz w:val="10"/>
      <w:szCs w:val="10"/>
    </w:rPr>
  </w:style>
  <w:style w:type="paragraph" w:customStyle="1" w:styleId="Bodytext30">
    <w:name w:val="Body text (3)"/>
    <w:basedOn w:val="Normal"/>
    <w:link w:val="Bodytext3"/>
    <w:pPr>
      <w:spacing w:line="228" w:lineRule="auto"/>
    </w:pPr>
    <w:rPr>
      <w:rFonts w:ascii="Times New Roman" w:eastAsia="Times New Roman" w:hAnsi="Times New Roman" w:cs="Times New Roman"/>
      <w:color w:val="FF0809"/>
      <w:sz w:val="16"/>
      <w:szCs w:val="16"/>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customStyle="1" w:styleId="Bodytext50">
    <w:name w:val="Body text (5)"/>
    <w:basedOn w:val="Normal"/>
    <w:link w:val="Bodytext5"/>
    <w:rPr>
      <w:rFonts w:ascii="Times New Roman" w:eastAsia="Times New Roman" w:hAnsi="Times New Roman" w:cs="Times New Roman"/>
      <w:color w:val="E8656B"/>
      <w:sz w:val="19"/>
      <w:szCs w:val="19"/>
    </w:rPr>
  </w:style>
  <w:style w:type="paragraph" w:customStyle="1" w:styleId="Bodytext60">
    <w:name w:val="Body text (6)"/>
    <w:basedOn w:val="Normal"/>
    <w:link w:val="Bodytext6"/>
    <w:rPr>
      <w:rFonts w:ascii="Arial" w:eastAsia="Arial"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XSLwyBRacaQt5GEg1kh4UNy6Zw==">CgMxLjA4AHIhMUFVNmpOMGtTc0hIUFRQbVpIUHlwd1NNaE1qUnpFUVhD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359</Words>
  <Characters>1884</Characters>
  <Application>Microsoft Office Word</Application>
  <DocSecurity>0</DocSecurity>
  <Lines>32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dc:creator>
  <cp:lastModifiedBy>Nguyen Thi Quynh Trang</cp:lastModifiedBy>
  <cp:revision>5</cp:revision>
  <dcterms:created xsi:type="dcterms:W3CDTF">2024-03-14T02:28:00Z</dcterms:created>
  <dcterms:modified xsi:type="dcterms:W3CDTF">2024-03-15T04:08:00Z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8aff8d9c5d11f884c7e952710e55c3cfd7aa16d39c123cbbdacb569e41321d98</vt:lpwstr>
  </property>
</Properties>
</file>