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C156" w14:textId="6718D43A" w:rsidR="0093078C" w:rsidRPr="006678C1" w:rsidRDefault="009D58C0" w:rsidP="0068794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4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  <w:szCs w:val="20"/>
        </w:rPr>
      </w:pPr>
      <w:r w:rsidRPr="006678C1">
        <w:rPr>
          <w:rFonts w:ascii="Arial" w:hAnsi="Arial" w:cs="Arial"/>
          <w:b/>
          <w:color w:val="010000"/>
          <w:sz w:val="20"/>
        </w:rPr>
        <w:t>LIG: Report on share offering result</w:t>
      </w:r>
      <w:r w:rsidR="009F72B9" w:rsidRPr="006678C1">
        <w:rPr>
          <w:rFonts w:ascii="Arial" w:hAnsi="Arial" w:cs="Arial" w:hint="eastAsia"/>
          <w:b/>
          <w:color w:val="010000"/>
          <w:sz w:val="20"/>
        </w:rPr>
        <w:t>s</w:t>
      </w:r>
    </w:p>
    <w:p w14:paraId="2B7CC182" w14:textId="67EEDB84" w:rsidR="0093078C" w:rsidRPr="006678C1" w:rsidRDefault="009D58C0" w:rsidP="0068794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On March 11, 2024, LICOGI 13 Joint Stock Company announced Report No. 109/2024/LICOGI13-BC on the result</w:t>
      </w:r>
      <w:r w:rsidR="003E1D6F" w:rsidRPr="006678C1">
        <w:rPr>
          <w:rFonts w:ascii="Arial" w:hAnsi="Arial" w:cs="Arial"/>
          <w:color w:val="010000"/>
          <w:sz w:val="20"/>
        </w:rPr>
        <w:t>s</w:t>
      </w:r>
      <w:r w:rsidRPr="006678C1">
        <w:rPr>
          <w:rFonts w:ascii="Arial" w:hAnsi="Arial" w:cs="Arial"/>
          <w:color w:val="010000"/>
          <w:sz w:val="20"/>
        </w:rPr>
        <w:t xml:space="preserve"> of the private placement as follows:</w:t>
      </w:r>
    </w:p>
    <w:p w14:paraId="6C186AB8" w14:textId="77777777" w:rsidR="0093078C" w:rsidRPr="006678C1" w:rsidRDefault="009D58C0" w:rsidP="00687949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Offering plan</w:t>
      </w:r>
    </w:p>
    <w:p w14:paraId="7FC31485" w14:textId="77777777" w:rsidR="0093078C" w:rsidRPr="006678C1" w:rsidRDefault="009D58C0" w:rsidP="006879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Share name: Shares of LICOGI 13 Joint Stock Company</w:t>
      </w:r>
      <w:bookmarkStart w:id="0" w:name="_GoBack"/>
      <w:bookmarkEnd w:id="0"/>
    </w:p>
    <w:p w14:paraId="79F71FEF" w14:textId="77777777" w:rsidR="0093078C" w:rsidRPr="006678C1" w:rsidRDefault="009D58C0" w:rsidP="006879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Share type: common share</w:t>
      </w:r>
    </w:p>
    <w:p w14:paraId="18910A24" w14:textId="77777777" w:rsidR="0093078C" w:rsidRPr="006678C1" w:rsidRDefault="009D58C0" w:rsidP="006879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Number of offered shares: 22,508,042 shares</w:t>
      </w:r>
    </w:p>
    <w:p w14:paraId="0F3EB35D" w14:textId="77777777" w:rsidR="0093078C" w:rsidRPr="006678C1" w:rsidRDefault="009D58C0" w:rsidP="006879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Offering price:</w:t>
      </w:r>
    </w:p>
    <w:p w14:paraId="7373B7AC" w14:textId="344AF913" w:rsidR="0093078C" w:rsidRPr="006678C1" w:rsidRDefault="009D58C0" w:rsidP="00687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 xml:space="preserve">Highest </w:t>
      </w:r>
      <w:r w:rsidR="003E1D6F" w:rsidRPr="006678C1">
        <w:rPr>
          <w:rFonts w:ascii="Arial" w:hAnsi="Arial" w:cs="Arial"/>
          <w:color w:val="010000"/>
          <w:sz w:val="20"/>
        </w:rPr>
        <w:t>offering</w:t>
      </w:r>
      <w:r w:rsidRPr="006678C1">
        <w:rPr>
          <w:rFonts w:ascii="Arial" w:hAnsi="Arial" w:cs="Arial"/>
          <w:color w:val="010000"/>
          <w:sz w:val="20"/>
        </w:rPr>
        <w:t xml:space="preserve"> price: VND 10,000/share</w:t>
      </w:r>
    </w:p>
    <w:p w14:paraId="395A26DD" w14:textId="5AC8773E" w:rsidR="0093078C" w:rsidRPr="006678C1" w:rsidRDefault="009D58C0" w:rsidP="00687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0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 xml:space="preserve">Lowest </w:t>
      </w:r>
      <w:r w:rsidR="003E1D6F" w:rsidRPr="006678C1">
        <w:rPr>
          <w:rFonts w:ascii="Arial" w:hAnsi="Arial" w:cs="Arial"/>
          <w:color w:val="010000"/>
          <w:sz w:val="20"/>
        </w:rPr>
        <w:t xml:space="preserve">offering </w:t>
      </w:r>
      <w:r w:rsidRPr="006678C1">
        <w:rPr>
          <w:rFonts w:ascii="Arial" w:hAnsi="Arial" w:cs="Arial"/>
          <w:color w:val="010000"/>
          <w:sz w:val="20"/>
        </w:rPr>
        <w:t>price: VND 10,000/share</w:t>
      </w:r>
    </w:p>
    <w:p w14:paraId="5291BCFB" w14:textId="77777777" w:rsidR="0093078C" w:rsidRPr="006678C1" w:rsidRDefault="009D58C0" w:rsidP="006879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Transfer restriction time: one year from the completion date of the issuance</w:t>
      </w:r>
    </w:p>
    <w:p w14:paraId="3C0BDB13" w14:textId="77777777" w:rsidR="0093078C" w:rsidRPr="006678C1" w:rsidRDefault="009D58C0" w:rsidP="006879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Total expected mobilized capital: VND 225,080,420,000</w:t>
      </w:r>
    </w:p>
    <w:p w14:paraId="2DE04557" w14:textId="77777777" w:rsidR="0093078C" w:rsidRPr="006678C1" w:rsidRDefault="009D58C0" w:rsidP="006879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Completion date of the offering: March 08, 2024</w:t>
      </w:r>
    </w:p>
    <w:p w14:paraId="0FD0E17E" w14:textId="77777777" w:rsidR="0093078C" w:rsidRPr="006678C1" w:rsidRDefault="009D58C0" w:rsidP="006879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Result of the offering:</w:t>
      </w:r>
    </w:p>
    <w:p w14:paraId="5B674BCE" w14:textId="77777777" w:rsidR="0093078C" w:rsidRPr="006678C1" w:rsidRDefault="009D58C0" w:rsidP="00687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Total number of distributed shares: 0 shares, equivalent to 0% of total offered shares, in which:</w:t>
      </w:r>
    </w:p>
    <w:p w14:paraId="24D3FE0C" w14:textId="77777777" w:rsidR="0093078C" w:rsidRPr="006678C1" w:rsidRDefault="009D58C0" w:rsidP="00687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Domestic investors: 0 shares;</w:t>
      </w:r>
    </w:p>
    <w:p w14:paraId="73C5CE86" w14:textId="77777777" w:rsidR="0093078C" w:rsidRPr="006678C1" w:rsidRDefault="009D58C0" w:rsidP="006879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Foreign investors and economic organizations with foreign investors holding more than 50% of charter capital: 0 shares</w:t>
      </w:r>
    </w:p>
    <w:p w14:paraId="0690E56B" w14:textId="77777777" w:rsidR="0093078C" w:rsidRPr="006678C1" w:rsidRDefault="009D58C0" w:rsidP="00687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Selling price:</w:t>
      </w:r>
    </w:p>
    <w:p w14:paraId="7FBDDB5C" w14:textId="77777777" w:rsidR="0093078C" w:rsidRPr="006678C1" w:rsidRDefault="009D58C0" w:rsidP="00687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Lowest selling price: VND 10,000/share</w:t>
      </w:r>
    </w:p>
    <w:p w14:paraId="3195600B" w14:textId="77777777" w:rsidR="0093078C" w:rsidRPr="006678C1" w:rsidRDefault="009D58C0" w:rsidP="00687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Highest selling price: VND 10,000/share</w:t>
      </w:r>
    </w:p>
    <w:p w14:paraId="4A925725" w14:textId="77777777" w:rsidR="0093078C" w:rsidRPr="006678C1" w:rsidRDefault="009D58C0" w:rsidP="006879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lastRenderedPageBreak/>
        <w:t>Weighted average selling price: VND 10,000/share</w:t>
      </w:r>
    </w:p>
    <w:p w14:paraId="6B25F56A" w14:textId="77777777" w:rsidR="0093078C" w:rsidRPr="006678C1" w:rsidRDefault="009D58C0" w:rsidP="00687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Total proceeds from the offering: VND 0</w:t>
      </w:r>
    </w:p>
    <w:p w14:paraId="2A44CE95" w14:textId="77777777" w:rsidR="0093078C" w:rsidRPr="006678C1" w:rsidRDefault="009D58C0" w:rsidP="00687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Total expenses: VND 0</w:t>
      </w:r>
    </w:p>
    <w:p w14:paraId="2CB5F356" w14:textId="77777777" w:rsidR="0093078C" w:rsidRPr="006678C1" w:rsidRDefault="009D58C0" w:rsidP="006879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Net proceeds from the offering: VND 0</w:t>
      </w:r>
    </w:p>
    <w:p w14:paraId="5B44EF79" w14:textId="77777777" w:rsidR="0093078C" w:rsidRPr="006678C1" w:rsidRDefault="009D58C0" w:rsidP="006879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8C1">
        <w:rPr>
          <w:rFonts w:ascii="Arial" w:hAnsi="Arial" w:cs="Arial"/>
          <w:color w:val="010000"/>
          <w:sz w:val="20"/>
        </w:rPr>
        <w:t>List and ownership rate of investors participating in buying shares:</w:t>
      </w:r>
    </w:p>
    <w:tbl>
      <w:tblPr>
        <w:tblStyle w:val="a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47"/>
        <w:gridCol w:w="1866"/>
        <w:gridCol w:w="1950"/>
        <w:gridCol w:w="1852"/>
        <w:gridCol w:w="2251"/>
        <w:gridCol w:w="1529"/>
        <w:gridCol w:w="1440"/>
        <w:gridCol w:w="1350"/>
        <w:gridCol w:w="1264"/>
      </w:tblGrid>
      <w:tr w:rsidR="00845114" w:rsidRPr="006678C1" w14:paraId="5C57E77B" w14:textId="77777777" w:rsidTr="00845114">
        <w:trPr>
          <w:jc w:val="center"/>
        </w:trPr>
        <w:tc>
          <w:tcPr>
            <w:tcW w:w="1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3EEDD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F826D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Name of investor</w:t>
            </w:r>
          </w:p>
        </w:tc>
        <w:tc>
          <w:tcPr>
            <w:tcW w:w="69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B906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Number of Business Registration Certificate or other equivalent document/ID Card/Citizen Identity Card/Passport</w:t>
            </w:r>
          </w:p>
        </w:tc>
        <w:tc>
          <w:tcPr>
            <w:tcW w:w="147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F7C2F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Subjects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BFCD4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Number of owned shares before the offering</w:t>
            </w:r>
          </w:p>
        </w:tc>
        <w:tc>
          <w:tcPr>
            <w:tcW w:w="51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F1E1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Number of distributed shares</w:t>
            </w:r>
          </w:p>
        </w:tc>
        <w:tc>
          <w:tcPr>
            <w:tcW w:w="48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33B3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Number of owned shares after the offering</w:t>
            </w:r>
          </w:p>
        </w:tc>
        <w:tc>
          <w:tcPr>
            <w:tcW w:w="45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3906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Ownership rate after the offering (%)</w:t>
            </w:r>
          </w:p>
        </w:tc>
      </w:tr>
      <w:tr w:rsidR="00845114" w:rsidRPr="006678C1" w14:paraId="117D93CC" w14:textId="77777777" w:rsidTr="00845114">
        <w:trPr>
          <w:jc w:val="center"/>
        </w:trPr>
        <w:tc>
          <w:tcPr>
            <w:tcW w:w="1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843B5" w14:textId="77777777" w:rsidR="0093078C" w:rsidRPr="006678C1" w:rsidRDefault="0093078C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A516A" w14:textId="77777777" w:rsidR="0093078C" w:rsidRPr="006678C1" w:rsidRDefault="0093078C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24777" w14:textId="77777777" w:rsidR="0093078C" w:rsidRPr="006678C1" w:rsidRDefault="0093078C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C9904" w14:textId="00B3A3B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Strategic investor/</w:t>
            </w:r>
            <w:r w:rsidR="00845114" w:rsidRPr="006678C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6678C1">
              <w:rPr>
                <w:rFonts w:ascii="Arial" w:hAnsi="Arial" w:cs="Arial"/>
                <w:color w:val="010000"/>
                <w:sz w:val="20"/>
              </w:rPr>
              <w:t>professional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700CC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Foreign investors/Economic organizations with foreign investors holding more than 50% of charter capital/Domestic investors</w:t>
            </w:r>
          </w:p>
        </w:tc>
        <w:tc>
          <w:tcPr>
            <w:tcW w:w="54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683DA" w14:textId="77777777" w:rsidR="0093078C" w:rsidRPr="006678C1" w:rsidRDefault="0093078C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D11B2" w14:textId="77777777" w:rsidR="0093078C" w:rsidRPr="006678C1" w:rsidRDefault="0093078C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CA8CA" w14:textId="77777777" w:rsidR="0093078C" w:rsidRPr="006678C1" w:rsidRDefault="0093078C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42007" w14:textId="77777777" w:rsidR="0093078C" w:rsidRPr="006678C1" w:rsidRDefault="0093078C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114" w:rsidRPr="006678C1" w14:paraId="70C5AB34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BB820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37440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 xml:space="preserve">Tran </w:t>
            </w: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6678C1">
              <w:rPr>
                <w:rFonts w:ascii="Arial" w:hAnsi="Arial" w:cs="Arial"/>
                <w:color w:val="010000"/>
                <w:sz w:val="20"/>
              </w:rPr>
              <w:t xml:space="preserve"> Hai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F7FCF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11965110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709C2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E1DFD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1237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A5AA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5A5D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91BA0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1.97</w:t>
            </w:r>
          </w:p>
        </w:tc>
      </w:tr>
      <w:tr w:rsidR="00845114" w:rsidRPr="006678C1" w14:paraId="66682605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5E12D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C5BC9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 xml:space="preserve">Ta </w:t>
            </w: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6678C1">
              <w:rPr>
                <w:rFonts w:ascii="Arial" w:hAnsi="Arial" w:cs="Arial"/>
                <w:color w:val="010000"/>
                <w:sz w:val="20"/>
              </w:rPr>
              <w:t xml:space="preserve"> Hiep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9D8BB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26092003128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C45F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3F76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6335C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D124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3476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6D57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1.97</w:t>
            </w:r>
          </w:p>
        </w:tc>
      </w:tr>
      <w:tr w:rsidR="00845114" w:rsidRPr="006678C1" w14:paraId="74F4FE96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78E52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BA6F9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 xml:space="preserve">Phan </w:t>
            </w: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6678C1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1675C" w14:textId="3A772CB1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42077000049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72A82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6A14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5275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2,877,000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2D74C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A5C4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2,877,000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29EDB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3.03</w:t>
            </w:r>
          </w:p>
        </w:tc>
      </w:tr>
      <w:tr w:rsidR="00845114" w:rsidRPr="006678C1" w14:paraId="6ACA90E9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7C82F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7B17A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 xml:space="preserve">Dao </w:t>
            </w: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Quyet</w:t>
            </w:r>
            <w:proofErr w:type="spellEnd"/>
            <w:r w:rsidRPr="006678C1">
              <w:rPr>
                <w:rFonts w:ascii="Arial" w:hAnsi="Arial" w:cs="Arial"/>
                <w:color w:val="010000"/>
                <w:sz w:val="20"/>
              </w:rPr>
              <w:t xml:space="preserve"> Thang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07FA4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1079016352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DAD3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9F8F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0A5C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2,877,000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45D7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A0F4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2,877,000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86F82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3.03</w:t>
            </w:r>
          </w:p>
        </w:tc>
      </w:tr>
      <w:tr w:rsidR="00845114" w:rsidRPr="006678C1" w14:paraId="05E940CA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62DC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83F14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6678C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6678C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8DD3A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1079000266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BB064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AE09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7E3A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4E70B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04A03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45E0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1.97</w:t>
            </w:r>
          </w:p>
        </w:tc>
      </w:tr>
      <w:tr w:rsidR="00845114" w:rsidRPr="006678C1" w14:paraId="0FF1ABBE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7490B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A05A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Nguyen Viet Lam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7F5FD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1077007608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4E3C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2D5F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6E63A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1,803,100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B3130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ACA7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1,803,100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70542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1.90</w:t>
            </w:r>
          </w:p>
        </w:tc>
      </w:tr>
      <w:tr w:rsidR="00845114" w:rsidRPr="006678C1" w14:paraId="23A74268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647C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B85A4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Ta Quynh Mai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2A5D7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26191009723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10AF7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E61BF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8C92F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2,877,000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AE00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118C0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2,877,000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F5E0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3.03</w:t>
            </w:r>
          </w:p>
        </w:tc>
      </w:tr>
      <w:tr w:rsidR="00845114" w:rsidRPr="006678C1" w14:paraId="5CB61275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B6007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FDAFC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Nguyen Viet Thanh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0EBB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12436870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F69C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8D346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E0D2F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C7501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1724B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1,869,000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A734C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1.97</w:t>
            </w:r>
          </w:p>
        </w:tc>
      </w:tr>
      <w:tr w:rsidR="00845114" w:rsidRPr="006678C1" w14:paraId="1D81DC9E" w14:textId="77777777" w:rsidTr="00845114">
        <w:trPr>
          <w:jc w:val="center"/>
        </w:trPr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F0944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34BB9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 xml:space="preserve">Truong Thi Minh </w:t>
            </w:r>
            <w:proofErr w:type="spellStart"/>
            <w:r w:rsidRPr="006678C1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CBFC3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1176049049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5879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Professional securities investor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F66F9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E446E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1,050,000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4386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4BEC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1,050,000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7BFB2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1.10</w:t>
            </w:r>
          </w:p>
        </w:tc>
      </w:tr>
      <w:tr w:rsidR="0093078C" w:rsidRPr="006678C1" w14:paraId="054F8B48" w14:textId="77777777" w:rsidTr="00845114">
        <w:trPr>
          <w:jc w:val="center"/>
        </w:trPr>
        <w:tc>
          <w:tcPr>
            <w:tcW w:w="2999" w:type="pct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961C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8FAF8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18,960,100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0B03F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6248D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18,960,100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4E985" w14:textId="77777777" w:rsidR="0093078C" w:rsidRPr="006678C1" w:rsidRDefault="009D58C0" w:rsidP="0068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678C1">
              <w:rPr>
                <w:rFonts w:ascii="Arial" w:hAnsi="Arial" w:cs="Arial"/>
                <w:color w:val="010000"/>
                <w:sz w:val="20"/>
              </w:rPr>
              <w:t>19.94</w:t>
            </w:r>
          </w:p>
        </w:tc>
      </w:tr>
    </w:tbl>
    <w:p w14:paraId="579EF537" w14:textId="77777777" w:rsidR="0093078C" w:rsidRPr="006678C1" w:rsidRDefault="0093078C" w:rsidP="006879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3078C" w:rsidRPr="006678C1" w:rsidSect="00845114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0BD"/>
    <w:multiLevelType w:val="multilevel"/>
    <w:tmpl w:val="8C2E2E8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1D8"/>
    <w:multiLevelType w:val="multilevel"/>
    <w:tmpl w:val="2B3298B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042A6B"/>
    <w:multiLevelType w:val="multilevel"/>
    <w:tmpl w:val="08F03F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0A66"/>
    <w:multiLevelType w:val="multilevel"/>
    <w:tmpl w:val="129A10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1D785D"/>
    <w:multiLevelType w:val="multilevel"/>
    <w:tmpl w:val="9014E2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485A"/>
    <w:multiLevelType w:val="multilevel"/>
    <w:tmpl w:val="C4A6C6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C"/>
    <w:rsid w:val="003E1D6F"/>
    <w:rsid w:val="006678C1"/>
    <w:rsid w:val="00687949"/>
    <w:rsid w:val="00845114"/>
    <w:rsid w:val="00886829"/>
    <w:rsid w:val="0093078C"/>
    <w:rsid w:val="009D58C0"/>
    <w:rsid w:val="009F72B9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F8EE6"/>
  <w15:docId w15:val="{57F127D3-BD5F-49A6-B2DA-7BD0BA4C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B4957"/>
      <w:sz w:val="20"/>
      <w:szCs w:val="20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B4957"/>
      <w:sz w:val="32"/>
      <w:szCs w:val="32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after="110" w:line="276" w:lineRule="auto"/>
      <w:ind w:left="520" w:firstLine="4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0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after="10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4" w:lineRule="auto"/>
      <w:ind w:left="800" w:firstLine="2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348" w:lineRule="auto"/>
      <w:jc w:val="center"/>
    </w:pPr>
    <w:rPr>
      <w:rFonts w:ascii="Arial" w:eastAsia="Arial" w:hAnsi="Arial" w:cs="Arial"/>
      <w:color w:val="CB4957"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pPr>
      <w:spacing w:line="348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CB4957"/>
      <w:sz w:val="32"/>
      <w:szCs w:val="32"/>
    </w:rPr>
  </w:style>
  <w:style w:type="paragraph" w:styleId="ListParagraph">
    <w:name w:val="List Paragraph"/>
    <w:basedOn w:val="Normal"/>
    <w:uiPriority w:val="34"/>
    <w:qFormat/>
    <w:rsid w:val="000569B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9HTaQPVGAfCALjtu7WNnIxqGCw==">CgMxLjA4AHIhMWVQcUVxcm9wVEo0RW9aSXNIWlU0VmQ4cEhZWGh6a3d5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10</cp:revision>
  <dcterms:created xsi:type="dcterms:W3CDTF">2024-03-13T02:27:00Z</dcterms:created>
  <dcterms:modified xsi:type="dcterms:W3CDTF">2024-03-14T03:03:00Z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c307243892195d8d9f72d8b215c48a9ef48c6f1fa1d9a750ee3d25ccb64e0b81</vt:lpwstr>
  </property>
</Properties>
</file>