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02E2" w14:textId="0427B2DE" w:rsidR="00EF0742" w:rsidRPr="00F56033" w:rsidRDefault="00EF0742" w:rsidP="00EE14FC">
      <w:pPr>
        <w:pStyle w:val="Vnbnnidung0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F56033">
        <w:rPr>
          <w:rFonts w:ascii="Arial" w:hAnsi="Arial" w:cs="Arial"/>
          <w:b/>
          <w:color w:val="010000"/>
          <w:sz w:val="20"/>
        </w:rPr>
        <w:t xml:space="preserve">TED: Explanation of the difference in Profit after tax in 2023 </w:t>
      </w:r>
    </w:p>
    <w:p w14:paraId="47D126DA" w14:textId="4C539BF8" w:rsidR="00EF0742" w:rsidRPr="00F56033" w:rsidRDefault="00EF0742" w:rsidP="00EE14F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56033">
        <w:rPr>
          <w:rFonts w:ascii="Arial" w:hAnsi="Arial" w:cs="Arial"/>
          <w:color w:val="010000"/>
          <w:sz w:val="20"/>
        </w:rPr>
        <w:t>On March 11, 2024, Transport Engineering Design Incorporated announced Official Dispatch No. 653/TEDI-CBTT on explaining the difference in profit after tax in the Separated Financial Statements 2023 as follows:</w:t>
      </w:r>
    </w:p>
    <w:p w14:paraId="42F58E14" w14:textId="00A7FE3D" w:rsidR="005C49A0" w:rsidRPr="00F56033" w:rsidRDefault="00DA20BE" w:rsidP="00EE14F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56033">
        <w:rPr>
          <w:rFonts w:ascii="Arial" w:hAnsi="Arial" w:cs="Arial"/>
          <w:color w:val="010000"/>
          <w:sz w:val="20"/>
        </w:rPr>
        <w:t>Pursuant to Circular No. 96/2020/TT-BTC, dated November 16, 2020 on providing guidelines on information disclosure on securities markets.</w:t>
      </w:r>
    </w:p>
    <w:p w14:paraId="42F58E15" w14:textId="39A0101A" w:rsidR="005C49A0" w:rsidRPr="00F56033" w:rsidRDefault="00DA20BE" w:rsidP="00EE14F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56033">
        <w:rPr>
          <w:rFonts w:ascii="Arial" w:hAnsi="Arial" w:cs="Arial"/>
          <w:color w:val="010000"/>
          <w:sz w:val="20"/>
        </w:rPr>
        <w:t xml:space="preserve">The explanation on the difference of </w:t>
      </w:r>
      <w:r w:rsidR="00F56033" w:rsidRPr="00F56033">
        <w:rPr>
          <w:rFonts w:ascii="Arial" w:hAnsi="Arial" w:cs="Arial"/>
          <w:color w:val="010000"/>
          <w:sz w:val="20"/>
        </w:rPr>
        <w:t>more</w:t>
      </w:r>
      <w:r w:rsidRPr="00F56033">
        <w:rPr>
          <w:rFonts w:ascii="Arial" w:hAnsi="Arial" w:cs="Arial"/>
          <w:color w:val="010000"/>
          <w:sz w:val="20"/>
        </w:rPr>
        <w:t xml:space="preserve"> than 10% in the data on profit after tax in the Report on business activities results in 2023 year-on-year is as follows: </w:t>
      </w:r>
    </w:p>
    <w:p w14:paraId="42F58E16" w14:textId="1EA76229" w:rsidR="005C49A0" w:rsidRPr="00F56033" w:rsidRDefault="00DA20BE" w:rsidP="00EE14FC">
      <w:pPr>
        <w:pStyle w:val="Vnbnnidung0"/>
        <w:spacing w:after="120" w:line="360" w:lineRule="auto"/>
        <w:jc w:val="right"/>
        <w:rPr>
          <w:rFonts w:ascii="Arial" w:hAnsi="Arial" w:cs="Arial"/>
          <w:color w:val="010000"/>
          <w:sz w:val="20"/>
        </w:rPr>
      </w:pPr>
      <w:r w:rsidRPr="00F56033">
        <w:rPr>
          <w:rFonts w:ascii="Arial" w:hAnsi="Arial" w:cs="Arial"/>
          <w:color w:val="010000"/>
          <w:sz w:val="20"/>
        </w:rPr>
        <w:t>Unit VND</w:t>
      </w:r>
      <w:bookmarkStart w:id="0" w:name="_GoBack"/>
      <w:bookmarkEnd w:id="0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2061"/>
        <w:gridCol w:w="2037"/>
        <w:gridCol w:w="2005"/>
        <w:gridCol w:w="934"/>
      </w:tblGrid>
      <w:tr w:rsidR="005C49A0" w:rsidRPr="00F56033" w14:paraId="42F58E1C" w14:textId="77777777" w:rsidTr="001647EC">
        <w:tc>
          <w:tcPr>
            <w:tcW w:w="1111" w:type="pct"/>
            <w:shd w:val="clear" w:color="auto" w:fill="auto"/>
            <w:vAlign w:val="center"/>
          </w:tcPr>
          <w:p w14:paraId="42F58E17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2F58E18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Data from the Financial Statements 2022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2F58E19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Data from the Financial Statements 2023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2F58E1A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Difference (+/-)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2F58E1B" w14:textId="3E935CC0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5C49A0" w:rsidRPr="00F56033" w14:paraId="42F58E22" w14:textId="77777777" w:rsidTr="001647EC">
        <w:tc>
          <w:tcPr>
            <w:tcW w:w="1111" w:type="pct"/>
            <w:shd w:val="clear" w:color="auto" w:fill="auto"/>
            <w:vAlign w:val="center"/>
          </w:tcPr>
          <w:p w14:paraId="42F58E1D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 xml:space="preserve">Profit after tax (Separate Financial Statements) 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2F58E1E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42,519,433,636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2F58E1F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62,879,995,360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2F58E20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20,360,561,724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2F58E21" w14:textId="77777777" w:rsidR="005C49A0" w:rsidRPr="00F56033" w:rsidRDefault="00DA20BE" w:rsidP="001647EC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56033">
              <w:rPr>
                <w:rFonts w:ascii="Arial" w:hAnsi="Arial" w:cs="Arial"/>
                <w:color w:val="010000"/>
                <w:sz w:val="20"/>
              </w:rPr>
              <w:t>47.89</w:t>
            </w:r>
          </w:p>
        </w:tc>
      </w:tr>
    </w:tbl>
    <w:p w14:paraId="42F58E24" w14:textId="48821261" w:rsidR="005C49A0" w:rsidRPr="00F56033" w:rsidRDefault="00DA20BE" w:rsidP="00EE14F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56033">
        <w:rPr>
          <w:rFonts w:ascii="Arial" w:hAnsi="Arial" w:cs="Arial"/>
          <w:color w:val="010000"/>
          <w:sz w:val="20"/>
        </w:rPr>
        <w:t xml:space="preserve">The reason that profit after tax in the Separated Financial Statements 2023 of the Corporation increased by VND 20,360,561,724 compared to that in 2022 is: In 2023, the accepted value and payment acceptance increased compared to that in 2022 due to the progress of completion and the acceptance by the investors. This led to </w:t>
      </w:r>
      <w:r w:rsidR="00F56033" w:rsidRPr="00F56033">
        <w:rPr>
          <w:rFonts w:ascii="Arial" w:hAnsi="Arial" w:cs="Arial"/>
          <w:color w:val="010000"/>
          <w:sz w:val="20"/>
        </w:rPr>
        <w:t>an</w:t>
      </w:r>
      <w:r w:rsidRPr="00F56033">
        <w:rPr>
          <w:rFonts w:ascii="Arial" w:hAnsi="Arial" w:cs="Arial"/>
          <w:color w:val="010000"/>
          <w:sz w:val="20"/>
        </w:rPr>
        <w:t xml:space="preserve"> increase in revenue, cost of goods sold, and profit of this year compared to last year.</w:t>
      </w:r>
    </w:p>
    <w:sectPr w:rsidR="005C49A0" w:rsidRPr="00F56033" w:rsidSect="001647EC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9A3D" w14:textId="77777777" w:rsidR="00132958" w:rsidRDefault="00132958">
      <w:r>
        <w:separator/>
      </w:r>
    </w:p>
  </w:endnote>
  <w:endnote w:type="continuationSeparator" w:id="0">
    <w:p w14:paraId="0CDFFB78" w14:textId="77777777" w:rsidR="00132958" w:rsidRDefault="0013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21DC" w14:textId="77777777" w:rsidR="00132958" w:rsidRDefault="00132958"/>
  </w:footnote>
  <w:footnote w:type="continuationSeparator" w:id="0">
    <w:p w14:paraId="386439B7" w14:textId="77777777" w:rsidR="00132958" w:rsidRDefault="001329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83F"/>
    <w:multiLevelType w:val="multilevel"/>
    <w:tmpl w:val="49548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A0"/>
    <w:rsid w:val="00132958"/>
    <w:rsid w:val="001647EC"/>
    <w:rsid w:val="00583CB5"/>
    <w:rsid w:val="005C49A0"/>
    <w:rsid w:val="00817782"/>
    <w:rsid w:val="00894923"/>
    <w:rsid w:val="00D243FC"/>
    <w:rsid w:val="00DA20BE"/>
    <w:rsid w:val="00DF70C9"/>
    <w:rsid w:val="00EB6242"/>
    <w:rsid w:val="00EE14FC"/>
    <w:rsid w:val="00EF0742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5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color w:val="A07E89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color w:val="A07E8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color w:val="A07E89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i/>
      <w:iCs/>
      <w:color w:val="A07E8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2024-03-13T03:21:00Z</dcterms:created>
  <dcterms:modified xsi:type="dcterms:W3CDTF">2024-03-14T08:13:00Z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f60ea0ee8098c9443f46f07139e368b7f6b09c1811c1245de1b28e27cfd036f1</vt:lpwstr>
  </property>
</Properties>
</file>