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3CA3" w14:textId="68D21ABC" w:rsidR="00FD38D8" w:rsidRPr="00D45020" w:rsidRDefault="00E8754C" w:rsidP="00575F04">
      <w:pPr>
        <w:spacing w:after="120" w:line="360" w:lineRule="auto"/>
        <w:jc w:val="both"/>
        <w:rPr>
          <w:rFonts w:ascii="Arial" w:eastAsia="Arial" w:hAnsi="Arial" w:cs="Arial"/>
          <w:b/>
          <w:color w:val="010000"/>
          <w:sz w:val="20"/>
          <w:szCs w:val="20"/>
        </w:rPr>
      </w:pPr>
      <w:r w:rsidRPr="00D45020">
        <w:rPr>
          <w:rFonts w:ascii="Arial" w:hAnsi="Arial" w:cs="Arial"/>
          <w:b/>
          <w:color w:val="010000"/>
          <w:sz w:val="20"/>
        </w:rPr>
        <w:t>HDM: Explanation on the retroactive</w:t>
      </w:r>
      <w:r w:rsidR="00051632" w:rsidRPr="00D45020">
        <w:rPr>
          <w:rFonts w:ascii="Arial" w:hAnsi="Arial" w:cs="Arial"/>
          <w:b/>
          <w:color w:val="010000"/>
          <w:sz w:val="20"/>
        </w:rPr>
        <w:t xml:space="preserve"> adjustment</w:t>
      </w:r>
      <w:r w:rsidR="00575F04">
        <w:rPr>
          <w:rFonts w:ascii="Arial" w:hAnsi="Arial" w:cs="Arial"/>
          <w:b/>
          <w:color w:val="010000"/>
          <w:sz w:val="20"/>
        </w:rPr>
        <w:t>s</w:t>
      </w:r>
      <w:r w:rsidRPr="00D45020">
        <w:rPr>
          <w:rFonts w:ascii="Arial" w:hAnsi="Arial" w:cs="Arial"/>
          <w:b/>
          <w:color w:val="010000"/>
          <w:sz w:val="20"/>
        </w:rPr>
        <w:t xml:space="preserve"> </w:t>
      </w:r>
      <w:r w:rsidR="00575F04">
        <w:rPr>
          <w:rFonts w:ascii="Arial" w:hAnsi="Arial" w:cs="Arial"/>
          <w:b/>
          <w:color w:val="010000"/>
          <w:sz w:val="20"/>
        </w:rPr>
        <w:t>to</w:t>
      </w:r>
      <w:r w:rsidR="00051632" w:rsidRPr="00D45020">
        <w:rPr>
          <w:rFonts w:ascii="Arial" w:hAnsi="Arial" w:cs="Arial"/>
          <w:b/>
          <w:color w:val="010000"/>
          <w:sz w:val="20"/>
        </w:rPr>
        <w:t xml:space="preserve"> </w:t>
      </w:r>
      <w:r w:rsidR="00A3717E" w:rsidRPr="00D45020">
        <w:rPr>
          <w:rFonts w:ascii="Arial" w:hAnsi="Arial" w:cs="Arial"/>
          <w:b/>
          <w:color w:val="010000"/>
          <w:sz w:val="20"/>
        </w:rPr>
        <w:t>Financial Statements</w:t>
      </w:r>
      <w:r w:rsidRPr="00D45020">
        <w:rPr>
          <w:rFonts w:ascii="Arial" w:hAnsi="Arial" w:cs="Arial"/>
          <w:b/>
          <w:color w:val="010000"/>
          <w:sz w:val="20"/>
        </w:rPr>
        <w:t xml:space="preserve"> 2022</w:t>
      </w:r>
    </w:p>
    <w:p w14:paraId="6C551E97" w14:textId="7CA92913" w:rsidR="00FD38D8" w:rsidRPr="00D45020" w:rsidRDefault="00E8754C" w:rsidP="00575F04">
      <w:pPr>
        <w:spacing w:after="120" w:line="360" w:lineRule="auto"/>
        <w:jc w:val="both"/>
        <w:rPr>
          <w:rFonts w:ascii="Arial" w:eastAsia="Arial" w:hAnsi="Arial" w:cs="Arial"/>
          <w:color w:val="010000"/>
          <w:sz w:val="20"/>
          <w:szCs w:val="20"/>
        </w:rPr>
      </w:pPr>
      <w:r w:rsidRPr="00D45020">
        <w:rPr>
          <w:rFonts w:ascii="Arial" w:hAnsi="Arial" w:cs="Arial"/>
          <w:color w:val="010000"/>
          <w:sz w:val="20"/>
        </w:rPr>
        <w:t>On March 13, 2024, Hue Textile Garment Joint Stock Company announced Official Dispatch No. 282/CBTT-DMH explaining the retroactive adjustment</w:t>
      </w:r>
      <w:r w:rsidR="00575F04">
        <w:rPr>
          <w:rFonts w:ascii="Arial" w:hAnsi="Arial" w:cs="Arial"/>
          <w:color w:val="010000"/>
          <w:sz w:val="20"/>
        </w:rPr>
        <w:t>s to</w:t>
      </w:r>
      <w:r w:rsidRPr="00D45020">
        <w:rPr>
          <w:rFonts w:ascii="Arial" w:hAnsi="Arial" w:cs="Arial"/>
          <w:color w:val="010000"/>
          <w:sz w:val="20"/>
        </w:rPr>
        <w:t xml:space="preserve"> the production and business results in 2022 and opening balance on </w:t>
      </w:r>
      <w:r w:rsidR="00A3717E" w:rsidRPr="00D45020">
        <w:rPr>
          <w:rFonts w:ascii="Arial" w:hAnsi="Arial" w:cs="Arial"/>
          <w:color w:val="010000"/>
          <w:sz w:val="20"/>
        </w:rPr>
        <w:t>Financial Statements</w:t>
      </w:r>
      <w:r w:rsidRPr="00D45020">
        <w:rPr>
          <w:rFonts w:ascii="Arial" w:hAnsi="Arial" w:cs="Arial"/>
          <w:color w:val="010000"/>
          <w:sz w:val="20"/>
        </w:rPr>
        <w:t xml:space="preserve"> 2023 as follows:</w:t>
      </w:r>
    </w:p>
    <w:p w14:paraId="18837DD8" w14:textId="73DB8762" w:rsidR="00FD38D8" w:rsidRPr="00D45020" w:rsidRDefault="00E8754C" w:rsidP="00575F04">
      <w:pPr>
        <w:widowControl/>
        <w:spacing w:after="120" w:line="360" w:lineRule="auto"/>
        <w:jc w:val="both"/>
        <w:rPr>
          <w:rFonts w:ascii="Arial" w:eastAsia="Arial" w:hAnsi="Arial" w:cs="Arial"/>
          <w:color w:val="010000"/>
          <w:sz w:val="20"/>
          <w:szCs w:val="20"/>
        </w:rPr>
      </w:pPr>
      <w:r w:rsidRPr="00D45020">
        <w:rPr>
          <w:rFonts w:ascii="Arial" w:hAnsi="Arial" w:cs="Arial"/>
          <w:color w:val="010000"/>
          <w:sz w:val="20"/>
        </w:rPr>
        <w:t xml:space="preserve">Hue Textile Garment Joint Stock Company has </w:t>
      </w:r>
      <w:r w:rsidR="0087759A" w:rsidRPr="00D45020">
        <w:rPr>
          <w:rFonts w:ascii="Arial" w:hAnsi="Arial" w:cs="Arial"/>
          <w:color w:val="010000"/>
          <w:sz w:val="20"/>
        </w:rPr>
        <w:t>made</w:t>
      </w:r>
      <w:r w:rsidRPr="00D45020">
        <w:rPr>
          <w:rFonts w:ascii="Arial" w:hAnsi="Arial" w:cs="Arial"/>
          <w:color w:val="010000"/>
          <w:sz w:val="20"/>
        </w:rPr>
        <w:t xml:space="preserve"> retroactive </w:t>
      </w:r>
      <w:r w:rsidR="0087759A" w:rsidRPr="00D45020">
        <w:rPr>
          <w:rFonts w:ascii="Arial" w:hAnsi="Arial" w:cs="Arial"/>
          <w:color w:val="010000"/>
          <w:sz w:val="20"/>
        </w:rPr>
        <w:t>adjustment to</w:t>
      </w:r>
      <w:r w:rsidRPr="00D45020">
        <w:rPr>
          <w:rFonts w:ascii="Arial" w:hAnsi="Arial" w:cs="Arial"/>
          <w:color w:val="010000"/>
          <w:sz w:val="20"/>
        </w:rPr>
        <w:t xml:space="preserve"> the </w:t>
      </w:r>
      <w:r w:rsidR="00A3717E" w:rsidRPr="00D45020">
        <w:rPr>
          <w:rFonts w:ascii="Arial" w:hAnsi="Arial" w:cs="Arial"/>
          <w:color w:val="010000"/>
          <w:sz w:val="20"/>
        </w:rPr>
        <w:t>Financial Statements</w:t>
      </w:r>
      <w:r w:rsidRPr="00D45020">
        <w:rPr>
          <w:rFonts w:ascii="Arial" w:hAnsi="Arial" w:cs="Arial"/>
          <w:color w:val="010000"/>
          <w:sz w:val="20"/>
        </w:rPr>
        <w:t xml:space="preserve"> 2022 as per Notice No. 12/TB-KTNN of the State Audit dated February 02, 2024</w:t>
      </w:r>
      <w:r w:rsidR="00A3717E" w:rsidRPr="00D45020">
        <w:rPr>
          <w:rFonts w:ascii="Arial" w:hAnsi="Arial" w:cs="Arial"/>
          <w:color w:val="010000"/>
          <w:sz w:val="20"/>
        </w:rPr>
        <w:t>.</w:t>
      </w:r>
      <w:r w:rsidRPr="00D45020">
        <w:rPr>
          <w:rFonts w:ascii="Arial" w:hAnsi="Arial" w:cs="Arial"/>
          <w:color w:val="010000"/>
          <w:sz w:val="20"/>
        </w:rPr>
        <w:t xml:space="preserve"> The adjustment has changed the figures in production and business results in 2022 and the opening balance on the </w:t>
      </w:r>
      <w:r w:rsidR="00A3717E" w:rsidRPr="00D45020">
        <w:rPr>
          <w:rFonts w:ascii="Arial" w:hAnsi="Arial" w:cs="Arial"/>
          <w:color w:val="010000"/>
          <w:sz w:val="20"/>
        </w:rPr>
        <w:t>Financial Statements</w:t>
      </w:r>
      <w:r w:rsidRPr="00D45020">
        <w:rPr>
          <w:rFonts w:ascii="Arial" w:hAnsi="Arial" w:cs="Arial"/>
          <w:color w:val="010000"/>
          <w:sz w:val="20"/>
        </w:rPr>
        <w:t xml:space="preserve"> 2023. These are </w:t>
      </w:r>
      <w:proofErr w:type="spellStart"/>
      <w:r w:rsidRPr="00D45020">
        <w:rPr>
          <w:rFonts w:ascii="Arial" w:hAnsi="Arial" w:cs="Arial"/>
          <w:color w:val="010000"/>
          <w:sz w:val="20"/>
        </w:rPr>
        <w:t>detailedly</w:t>
      </w:r>
      <w:proofErr w:type="spellEnd"/>
      <w:r w:rsidRPr="00D45020">
        <w:rPr>
          <w:rFonts w:ascii="Arial" w:hAnsi="Arial" w:cs="Arial"/>
          <w:color w:val="010000"/>
          <w:sz w:val="20"/>
        </w:rPr>
        <w:t xml:space="preserve"> presented in the audited </w:t>
      </w:r>
      <w:r w:rsidR="00A3717E" w:rsidRPr="00D45020">
        <w:rPr>
          <w:rFonts w:ascii="Arial" w:hAnsi="Arial" w:cs="Arial"/>
          <w:color w:val="010000"/>
          <w:sz w:val="20"/>
        </w:rPr>
        <w:t>Financial Statements</w:t>
      </w:r>
      <w:r w:rsidRPr="00D45020">
        <w:rPr>
          <w:rFonts w:ascii="Arial" w:hAnsi="Arial" w:cs="Arial"/>
          <w:color w:val="010000"/>
          <w:sz w:val="20"/>
        </w:rPr>
        <w:t xml:space="preserve"> 2023</w:t>
      </w:r>
      <w:r w:rsidR="00A3717E" w:rsidRPr="00D45020">
        <w:rPr>
          <w:rFonts w:ascii="Arial" w:hAnsi="Arial" w:cs="Arial"/>
          <w:color w:val="010000"/>
          <w:sz w:val="20"/>
        </w:rPr>
        <w:t>.</w:t>
      </w:r>
      <w:r w:rsidRPr="00D45020">
        <w:rPr>
          <w:rFonts w:ascii="Arial" w:hAnsi="Arial" w:cs="Arial"/>
          <w:color w:val="010000"/>
          <w:sz w:val="20"/>
        </w:rPr>
        <w:t xml:space="preserve"> The figures from the retroactive adjustment are as </w:t>
      </w:r>
      <w:r w:rsidR="00A3717E" w:rsidRPr="00D45020">
        <w:rPr>
          <w:rFonts w:ascii="Arial" w:hAnsi="Arial" w:cs="Arial"/>
          <w:color w:val="010000"/>
          <w:sz w:val="20"/>
        </w:rPr>
        <w:t>follows</w:t>
      </w:r>
      <w:r w:rsidRPr="00D45020">
        <w:rPr>
          <w:rFonts w:ascii="Arial" w:hAnsi="Arial" w:cs="Arial"/>
          <w:color w:val="010000"/>
          <w:sz w:val="20"/>
        </w:rPr>
        <w:t>:</w:t>
      </w:r>
    </w:p>
    <w:p w14:paraId="077F8C08" w14:textId="77777777" w:rsidR="00FD38D8" w:rsidRPr="00D45020" w:rsidRDefault="00E8754C" w:rsidP="00E8754C">
      <w:pPr>
        <w:widowControl/>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45020">
        <w:rPr>
          <w:rFonts w:ascii="Arial" w:hAnsi="Arial" w:cs="Arial"/>
          <w:color w:val="010000"/>
          <w:sz w:val="20"/>
        </w:rPr>
        <w:t>Balance sheet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5"/>
        <w:gridCol w:w="1879"/>
        <w:gridCol w:w="1843"/>
        <w:gridCol w:w="1870"/>
      </w:tblGrid>
      <w:tr w:rsidR="00FD38D8" w:rsidRPr="00D45020" w14:paraId="569C88AA" w14:textId="77777777" w:rsidTr="00A3717E">
        <w:tc>
          <w:tcPr>
            <w:tcW w:w="1899" w:type="pct"/>
            <w:vMerge w:val="restart"/>
            <w:shd w:val="clear" w:color="auto" w:fill="auto"/>
            <w:tcMar>
              <w:top w:w="0" w:type="dxa"/>
              <w:left w:w="0" w:type="dxa"/>
              <w:bottom w:w="0" w:type="dxa"/>
              <w:right w:w="0" w:type="dxa"/>
            </w:tcMar>
            <w:vAlign w:val="center"/>
          </w:tcPr>
          <w:p w14:paraId="432BCA1A"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Targets</w:t>
            </w:r>
          </w:p>
        </w:tc>
        <w:tc>
          <w:tcPr>
            <w:tcW w:w="1042" w:type="pct"/>
            <w:shd w:val="clear" w:color="auto" w:fill="auto"/>
            <w:tcMar>
              <w:top w:w="0" w:type="dxa"/>
              <w:left w:w="0" w:type="dxa"/>
              <w:bottom w:w="0" w:type="dxa"/>
              <w:right w:w="0" w:type="dxa"/>
            </w:tcMar>
          </w:tcPr>
          <w:p w14:paraId="01F50DF5" w14:textId="77777777" w:rsidR="00FD38D8" w:rsidRPr="00D45020" w:rsidRDefault="00E8754C" w:rsidP="00A3717E">
            <w:pPr>
              <w:widowControl/>
              <w:spacing w:after="120" w:line="360" w:lineRule="auto"/>
              <w:rPr>
                <w:rFonts w:ascii="Arial" w:eastAsia="Arial" w:hAnsi="Arial" w:cs="Arial"/>
                <w:color w:val="010000"/>
                <w:sz w:val="20"/>
                <w:szCs w:val="20"/>
              </w:rPr>
            </w:pPr>
            <w:r w:rsidRPr="00D45020">
              <w:rPr>
                <w:rFonts w:ascii="Arial" w:hAnsi="Arial" w:cs="Arial"/>
                <w:color w:val="010000"/>
                <w:sz w:val="20"/>
              </w:rPr>
              <w:t xml:space="preserve">January 01, 2023 </w:t>
            </w:r>
          </w:p>
          <w:p w14:paraId="3125208F" w14:textId="4FC40A9E" w:rsidR="00FD38D8" w:rsidRPr="00D45020" w:rsidRDefault="00E8754C" w:rsidP="00A3717E">
            <w:pPr>
              <w:widowControl/>
              <w:spacing w:after="120" w:line="360" w:lineRule="auto"/>
              <w:rPr>
                <w:rFonts w:ascii="Arial" w:eastAsia="Arial" w:hAnsi="Arial" w:cs="Arial"/>
                <w:color w:val="010000"/>
                <w:sz w:val="20"/>
                <w:szCs w:val="20"/>
              </w:rPr>
            </w:pPr>
            <w:r w:rsidRPr="00D45020">
              <w:rPr>
                <w:rFonts w:ascii="Arial" w:hAnsi="Arial" w:cs="Arial"/>
                <w:color w:val="010000"/>
                <w:sz w:val="20"/>
              </w:rPr>
              <w:t xml:space="preserve">(Presented in the </w:t>
            </w:r>
            <w:r w:rsidR="00A3717E" w:rsidRPr="00D45020">
              <w:rPr>
                <w:rFonts w:ascii="Arial" w:hAnsi="Arial" w:cs="Arial"/>
                <w:color w:val="010000"/>
                <w:sz w:val="20"/>
              </w:rPr>
              <w:t>Financial Statements</w:t>
            </w:r>
            <w:r w:rsidRPr="00D45020">
              <w:rPr>
                <w:rFonts w:ascii="Arial" w:hAnsi="Arial" w:cs="Arial"/>
                <w:color w:val="010000"/>
                <w:sz w:val="20"/>
              </w:rPr>
              <w:t xml:space="preserve"> of last year)</w:t>
            </w:r>
          </w:p>
        </w:tc>
        <w:tc>
          <w:tcPr>
            <w:tcW w:w="1022" w:type="pct"/>
            <w:shd w:val="clear" w:color="auto" w:fill="auto"/>
            <w:tcMar>
              <w:top w:w="0" w:type="dxa"/>
              <w:left w:w="0" w:type="dxa"/>
              <w:bottom w:w="0" w:type="dxa"/>
              <w:right w:w="0" w:type="dxa"/>
            </w:tcMar>
          </w:tcPr>
          <w:p w14:paraId="785EDC66" w14:textId="77777777" w:rsidR="00FD38D8" w:rsidRPr="00D45020" w:rsidRDefault="00E8754C" w:rsidP="00A3717E">
            <w:pPr>
              <w:widowControl/>
              <w:spacing w:after="120" w:line="360" w:lineRule="auto"/>
              <w:rPr>
                <w:rFonts w:ascii="Arial" w:eastAsia="Arial" w:hAnsi="Arial" w:cs="Arial"/>
                <w:color w:val="010000"/>
                <w:sz w:val="20"/>
                <w:szCs w:val="20"/>
              </w:rPr>
            </w:pPr>
            <w:r w:rsidRPr="00D45020">
              <w:rPr>
                <w:rFonts w:ascii="Arial" w:hAnsi="Arial" w:cs="Arial"/>
                <w:color w:val="010000"/>
                <w:sz w:val="20"/>
              </w:rPr>
              <w:t xml:space="preserve">January 01, 2023 </w:t>
            </w:r>
          </w:p>
          <w:p w14:paraId="6A3A2CB7" w14:textId="4522922A" w:rsidR="00FD38D8" w:rsidRPr="00D45020" w:rsidRDefault="00575F04" w:rsidP="00A3717E">
            <w:pPr>
              <w:widowControl/>
              <w:spacing w:after="120" w:line="360" w:lineRule="auto"/>
              <w:rPr>
                <w:rFonts w:ascii="Arial" w:eastAsia="Arial" w:hAnsi="Arial" w:cs="Arial"/>
                <w:color w:val="010000"/>
                <w:sz w:val="20"/>
                <w:szCs w:val="20"/>
              </w:rPr>
            </w:pPr>
            <w:r>
              <w:rPr>
                <w:rFonts w:ascii="Arial" w:hAnsi="Arial" w:cs="Arial"/>
                <w:color w:val="010000"/>
                <w:sz w:val="20"/>
              </w:rPr>
              <w:t>(Adjustments by</w:t>
            </w:r>
            <w:r w:rsidR="00E8754C" w:rsidRPr="00D45020">
              <w:rPr>
                <w:rFonts w:ascii="Arial" w:hAnsi="Arial" w:cs="Arial"/>
                <w:color w:val="010000"/>
                <w:sz w:val="20"/>
              </w:rPr>
              <w:t xml:space="preserve"> the State Audit)</w:t>
            </w:r>
          </w:p>
        </w:tc>
        <w:tc>
          <w:tcPr>
            <w:tcW w:w="1037" w:type="pct"/>
            <w:shd w:val="clear" w:color="auto" w:fill="auto"/>
            <w:tcMar>
              <w:top w:w="0" w:type="dxa"/>
              <w:left w:w="0" w:type="dxa"/>
              <w:bottom w:w="0" w:type="dxa"/>
              <w:right w:w="0" w:type="dxa"/>
            </w:tcMar>
          </w:tcPr>
          <w:p w14:paraId="54D24577" w14:textId="77777777" w:rsidR="00FD38D8" w:rsidRPr="00D45020" w:rsidRDefault="00E8754C" w:rsidP="00A3717E">
            <w:pPr>
              <w:widowControl/>
              <w:spacing w:after="120" w:line="360" w:lineRule="auto"/>
              <w:rPr>
                <w:rFonts w:ascii="Arial" w:eastAsia="Arial" w:hAnsi="Arial" w:cs="Arial"/>
                <w:color w:val="010000"/>
                <w:sz w:val="20"/>
                <w:szCs w:val="20"/>
              </w:rPr>
            </w:pPr>
            <w:r w:rsidRPr="00D45020">
              <w:rPr>
                <w:rFonts w:ascii="Arial" w:hAnsi="Arial" w:cs="Arial"/>
                <w:color w:val="010000"/>
                <w:sz w:val="20"/>
              </w:rPr>
              <w:t xml:space="preserve">January 01, 2023 </w:t>
            </w:r>
          </w:p>
          <w:p w14:paraId="21BFD008" w14:textId="38D4D6C0" w:rsidR="00FD38D8" w:rsidRPr="00D45020" w:rsidRDefault="00E8754C" w:rsidP="00A3717E">
            <w:pPr>
              <w:widowControl/>
              <w:spacing w:after="120" w:line="360" w:lineRule="auto"/>
              <w:rPr>
                <w:rFonts w:ascii="Arial" w:eastAsia="Arial" w:hAnsi="Arial" w:cs="Arial"/>
                <w:color w:val="010000"/>
                <w:sz w:val="20"/>
                <w:szCs w:val="20"/>
              </w:rPr>
            </w:pPr>
            <w:r w:rsidRPr="00D45020">
              <w:rPr>
                <w:rFonts w:ascii="Arial" w:hAnsi="Arial" w:cs="Arial"/>
                <w:color w:val="010000"/>
                <w:sz w:val="20"/>
              </w:rPr>
              <w:t xml:space="preserve">(Adjusted on the </w:t>
            </w:r>
            <w:r w:rsidR="00A3717E" w:rsidRPr="00D45020">
              <w:rPr>
                <w:rFonts w:ascii="Arial" w:hAnsi="Arial" w:cs="Arial"/>
                <w:color w:val="010000"/>
                <w:sz w:val="20"/>
              </w:rPr>
              <w:t>Financial Statements</w:t>
            </w:r>
            <w:r w:rsidRPr="00D45020">
              <w:rPr>
                <w:rFonts w:ascii="Arial" w:hAnsi="Arial" w:cs="Arial"/>
                <w:color w:val="010000"/>
                <w:sz w:val="20"/>
              </w:rPr>
              <w:t xml:space="preserve"> 2023)</w:t>
            </w:r>
          </w:p>
        </w:tc>
      </w:tr>
      <w:tr w:rsidR="00FD38D8" w:rsidRPr="00D45020" w14:paraId="4D394AE7" w14:textId="77777777" w:rsidTr="00E8754C">
        <w:tc>
          <w:tcPr>
            <w:tcW w:w="1899" w:type="pct"/>
            <w:vMerge/>
            <w:shd w:val="clear" w:color="auto" w:fill="auto"/>
            <w:tcMar>
              <w:top w:w="0" w:type="dxa"/>
              <w:left w:w="0" w:type="dxa"/>
              <w:bottom w:w="0" w:type="dxa"/>
              <w:right w:w="0" w:type="dxa"/>
            </w:tcMar>
            <w:vAlign w:val="center"/>
          </w:tcPr>
          <w:p w14:paraId="4E33BFB8" w14:textId="77777777" w:rsidR="00FD38D8" w:rsidRPr="00D45020" w:rsidRDefault="00FD38D8" w:rsidP="00E8754C">
            <w:pPr>
              <w:pBdr>
                <w:top w:val="nil"/>
                <w:left w:val="nil"/>
                <w:bottom w:val="nil"/>
                <w:right w:val="nil"/>
                <w:between w:val="nil"/>
              </w:pBdr>
              <w:spacing w:after="120" w:line="360" w:lineRule="auto"/>
              <w:rPr>
                <w:rFonts w:ascii="Arial" w:eastAsia="Arial" w:hAnsi="Arial" w:cs="Arial"/>
                <w:color w:val="010000"/>
                <w:sz w:val="20"/>
                <w:szCs w:val="20"/>
              </w:rPr>
            </w:pPr>
          </w:p>
        </w:tc>
        <w:tc>
          <w:tcPr>
            <w:tcW w:w="1042" w:type="pct"/>
            <w:shd w:val="clear" w:color="auto" w:fill="auto"/>
            <w:tcMar>
              <w:top w:w="0" w:type="dxa"/>
              <w:left w:w="0" w:type="dxa"/>
              <w:bottom w:w="0" w:type="dxa"/>
              <w:right w:w="0" w:type="dxa"/>
            </w:tcMar>
            <w:vAlign w:val="center"/>
          </w:tcPr>
          <w:p w14:paraId="324EC724"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VND</w:t>
            </w:r>
          </w:p>
        </w:tc>
        <w:tc>
          <w:tcPr>
            <w:tcW w:w="1022" w:type="pct"/>
            <w:shd w:val="clear" w:color="auto" w:fill="auto"/>
            <w:tcMar>
              <w:top w:w="0" w:type="dxa"/>
              <w:left w:w="0" w:type="dxa"/>
              <w:bottom w:w="0" w:type="dxa"/>
              <w:right w:w="0" w:type="dxa"/>
            </w:tcMar>
            <w:vAlign w:val="center"/>
          </w:tcPr>
          <w:p w14:paraId="133A8CFE"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VND</w:t>
            </w:r>
          </w:p>
        </w:tc>
        <w:tc>
          <w:tcPr>
            <w:tcW w:w="1037" w:type="pct"/>
            <w:shd w:val="clear" w:color="auto" w:fill="auto"/>
            <w:tcMar>
              <w:top w:w="0" w:type="dxa"/>
              <w:left w:w="0" w:type="dxa"/>
              <w:bottom w:w="0" w:type="dxa"/>
              <w:right w:w="0" w:type="dxa"/>
            </w:tcMar>
            <w:vAlign w:val="center"/>
          </w:tcPr>
          <w:p w14:paraId="483FA8BE"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VND</w:t>
            </w:r>
          </w:p>
        </w:tc>
      </w:tr>
      <w:tr w:rsidR="00FD38D8" w:rsidRPr="00D45020" w14:paraId="1C4FB488" w14:textId="77777777" w:rsidTr="00E8754C">
        <w:tc>
          <w:tcPr>
            <w:tcW w:w="1899" w:type="pct"/>
            <w:shd w:val="clear" w:color="auto" w:fill="auto"/>
            <w:tcMar>
              <w:top w:w="0" w:type="dxa"/>
              <w:left w:w="0" w:type="dxa"/>
              <w:bottom w:w="0" w:type="dxa"/>
              <w:right w:w="0" w:type="dxa"/>
            </w:tcMar>
            <w:vAlign w:val="center"/>
          </w:tcPr>
          <w:p w14:paraId="29FB5D81"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Inventory</w:t>
            </w:r>
          </w:p>
        </w:tc>
        <w:tc>
          <w:tcPr>
            <w:tcW w:w="1042" w:type="pct"/>
            <w:shd w:val="clear" w:color="auto" w:fill="auto"/>
            <w:tcMar>
              <w:top w:w="0" w:type="dxa"/>
              <w:left w:w="0" w:type="dxa"/>
              <w:bottom w:w="0" w:type="dxa"/>
              <w:right w:w="0" w:type="dxa"/>
            </w:tcMar>
            <w:vAlign w:val="center"/>
          </w:tcPr>
          <w:p w14:paraId="2B3EF2AF"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445,761,744,112</w:t>
            </w:r>
          </w:p>
        </w:tc>
        <w:tc>
          <w:tcPr>
            <w:tcW w:w="1022" w:type="pct"/>
            <w:shd w:val="clear" w:color="auto" w:fill="auto"/>
            <w:tcMar>
              <w:top w:w="0" w:type="dxa"/>
              <w:left w:w="0" w:type="dxa"/>
              <w:bottom w:w="0" w:type="dxa"/>
              <w:right w:w="0" w:type="dxa"/>
            </w:tcMar>
            <w:vAlign w:val="center"/>
          </w:tcPr>
          <w:p w14:paraId="28F0EEBB"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8,594,643,954</w:t>
            </w:r>
          </w:p>
        </w:tc>
        <w:tc>
          <w:tcPr>
            <w:tcW w:w="1037" w:type="pct"/>
            <w:shd w:val="clear" w:color="auto" w:fill="auto"/>
            <w:tcMar>
              <w:top w:w="0" w:type="dxa"/>
              <w:left w:w="0" w:type="dxa"/>
              <w:bottom w:w="0" w:type="dxa"/>
              <w:right w:w="0" w:type="dxa"/>
            </w:tcMar>
            <w:vAlign w:val="center"/>
          </w:tcPr>
          <w:p w14:paraId="3E033687"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454,356,388,066</w:t>
            </w:r>
          </w:p>
        </w:tc>
      </w:tr>
      <w:tr w:rsidR="00FD38D8" w:rsidRPr="00D45020" w14:paraId="4AE8483F" w14:textId="77777777" w:rsidTr="00E8754C">
        <w:tc>
          <w:tcPr>
            <w:tcW w:w="1899" w:type="pct"/>
            <w:shd w:val="clear" w:color="auto" w:fill="auto"/>
            <w:tcMar>
              <w:top w:w="0" w:type="dxa"/>
              <w:left w:w="0" w:type="dxa"/>
              <w:bottom w:w="0" w:type="dxa"/>
              <w:right w:w="0" w:type="dxa"/>
            </w:tcMar>
            <w:vAlign w:val="center"/>
          </w:tcPr>
          <w:p w14:paraId="38CD96EE" w14:textId="0CBF0A4D"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Provision for devaluation in inventories</w:t>
            </w:r>
          </w:p>
        </w:tc>
        <w:tc>
          <w:tcPr>
            <w:tcW w:w="1042" w:type="pct"/>
            <w:shd w:val="clear" w:color="auto" w:fill="auto"/>
            <w:tcMar>
              <w:top w:w="0" w:type="dxa"/>
              <w:left w:w="0" w:type="dxa"/>
              <w:bottom w:w="0" w:type="dxa"/>
              <w:right w:w="0" w:type="dxa"/>
            </w:tcMar>
            <w:vAlign w:val="center"/>
          </w:tcPr>
          <w:p w14:paraId="4223F3EA"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(38,954,983,357)</w:t>
            </w:r>
          </w:p>
        </w:tc>
        <w:tc>
          <w:tcPr>
            <w:tcW w:w="1022" w:type="pct"/>
            <w:shd w:val="clear" w:color="auto" w:fill="auto"/>
            <w:tcMar>
              <w:top w:w="0" w:type="dxa"/>
              <w:left w:w="0" w:type="dxa"/>
              <w:bottom w:w="0" w:type="dxa"/>
              <w:right w:w="0" w:type="dxa"/>
            </w:tcMar>
            <w:vAlign w:val="center"/>
          </w:tcPr>
          <w:p w14:paraId="78512E79"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264,926,470</w:t>
            </w:r>
          </w:p>
        </w:tc>
        <w:tc>
          <w:tcPr>
            <w:tcW w:w="1037" w:type="pct"/>
            <w:shd w:val="clear" w:color="auto" w:fill="auto"/>
            <w:tcMar>
              <w:top w:w="0" w:type="dxa"/>
              <w:left w:w="0" w:type="dxa"/>
              <w:bottom w:w="0" w:type="dxa"/>
              <w:right w:w="0" w:type="dxa"/>
            </w:tcMar>
            <w:vAlign w:val="center"/>
          </w:tcPr>
          <w:p w14:paraId="5D70C952"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(38,690,056,887)</w:t>
            </w:r>
          </w:p>
        </w:tc>
      </w:tr>
      <w:tr w:rsidR="00FD38D8" w:rsidRPr="00D45020" w14:paraId="0B201894" w14:textId="77777777" w:rsidTr="00E8754C">
        <w:tc>
          <w:tcPr>
            <w:tcW w:w="1899" w:type="pct"/>
            <w:shd w:val="clear" w:color="auto" w:fill="auto"/>
            <w:tcMar>
              <w:top w:w="0" w:type="dxa"/>
              <w:left w:w="0" w:type="dxa"/>
              <w:bottom w:w="0" w:type="dxa"/>
              <w:right w:w="0" w:type="dxa"/>
            </w:tcMar>
            <w:vAlign w:val="center"/>
          </w:tcPr>
          <w:p w14:paraId="4C288396"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Tangible fixed assets - historical cost</w:t>
            </w:r>
          </w:p>
        </w:tc>
        <w:tc>
          <w:tcPr>
            <w:tcW w:w="1042" w:type="pct"/>
            <w:shd w:val="clear" w:color="auto" w:fill="auto"/>
            <w:tcMar>
              <w:top w:w="0" w:type="dxa"/>
              <w:left w:w="0" w:type="dxa"/>
              <w:bottom w:w="0" w:type="dxa"/>
              <w:right w:w="0" w:type="dxa"/>
            </w:tcMar>
            <w:vAlign w:val="center"/>
          </w:tcPr>
          <w:p w14:paraId="494CDE25"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1,015,052,990,134</w:t>
            </w:r>
          </w:p>
        </w:tc>
        <w:tc>
          <w:tcPr>
            <w:tcW w:w="1022" w:type="pct"/>
            <w:shd w:val="clear" w:color="auto" w:fill="auto"/>
            <w:tcMar>
              <w:top w:w="0" w:type="dxa"/>
              <w:left w:w="0" w:type="dxa"/>
              <w:bottom w:w="0" w:type="dxa"/>
              <w:right w:w="0" w:type="dxa"/>
            </w:tcMar>
            <w:vAlign w:val="center"/>
          </w:tcPr>
          <w:p w14:paraId="24F30450"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1,164,293,439</w:t>
            </w:r>
          </w:p>
        </w:tc>
        <w:tc>
          <w:tcPr>
            <w:tcW w:w="1037" w:type="pct"/>
            <w:shd w:val="clear" w:color="auto" w:fill="auto"/>
            <w:tcMar>
              <w:top w:w="0" w:type="dxa"/>
              <w:left w:w="0" w:type="dxa"/>
              <w:bottom w:w="0" w:type="dxa"/>
              <w:right w:w="0" w:type="dxa"/>
            </w:tcMar>
            <w:vAlign w:val="center"/>
          </w:tcPr>
          <w:p w14:paraId="19F946DC"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1,016,217,283,573</w:t>
            </w:r>
          </w:p>
        </w:tc>
      </w:tr>
      <w:tr w:rsidR="00FD38D8" w:rsidRPr="00D45020" w14:paraId="49AC6055" w14:textId="77777777" w:rsidTr="00E8754C">
        <w:tc>
          <w:tcPr>
            <w:tcW w:w="1899" w:type="pct"/>
            <w:shd w:val="clear" w:color="auto" w:fill="auto"/>
            <w:tcMar>
              <w:top w:w="0" w:type="dxa"/>
              <w:left w:w="0" w:type="dxa"/>
              <w:bottom w:w="0" w:type="dxa"/>
              <w:right w:w="0" w:type="dxa"/>
            </w:tcMar>
            <w:vAlign w:val="center"/>
          </w:tcPr>
          <w:p w14:paraId="695B9126"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Tangible fixed assets - accumulated depreciation</w:t>
            </w:r>
          </w:p>
        </w:tc>
        <w:tc>
          <w:tcPr>
            <w:tcW w:w="1042" w:type="pct"/>
            <w:shd w:val="clear" w:color="auto" w:fill="auto"/>
            <w:tcMar>
              <w:top w:w="0" w:type="dxa"/>
              <w:left w:w="0" w:type="dxa"/>
              <w:bottom w:w="0" w:type="dxa"/>
              <w:right w:w="0" w:type="dxa"/>
            </w:tcMar>
            <w:vAlign w:val="center"/>
          </w:tcPr>
          <w:p w14:paraId="78DC3F29"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(713,070,285,799)</w:t>
            </w:r>
          </w:p>
        </w:tc>
        <w:tc>
          <w:tcPr>
            <w:tcW w:w="1022" w:type="pct"/>
            <w:shd w:val="clear" w:color="auto" w:fill="auto"/>
            <w:tcMar>
              <w:top w:w="0" w:type="dxa"/>
              <w:left w:w="0" w:type="dxa"/>
              <w:bottom w:w="0" w:type="dxa"/>
              <w:right w:w="0" w:type="dxa"/>
            </w:tcMar>
            <w:vAlign w:val="center"/>
          </w:tcPr>
          <w:p w14:paraId="346FF85D"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(106,519,037)</w:t>
            </w:r>
          </w:p>
        </w:tc>
        <w:tc>
          <w:tcPr>
            <w:tcW w:w="1037" w:type="pct"/>
            <w:shd w:val="clear" w:color="auto" w:fill="auto"/>
            <w:tcMar>
              <w:top w:w="0" w:type="dxa"/>
              <w:left w:w="0" w:type="dxa"/>
              <w:bottom w:w="0" w:type="dxa"/>
              <w:right w:w="0" w:type="dxa"/>
            </w:tcMar>
            <w:vAlign w:val="center"/>
          </w:tcPr>
          <w:p w14:paraId="4697D3FD"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(713,176,804,836)</w:t>
            </w:r>
          </w:p>
        </w:tc>
      </w:tr>
      <w:tr w:rsidR="00FD38D8" w:rsidRPr="00D45020" w14:paraId="0BE9286A" w14:textId="77777777" w:rsidTr="00E8754C">
        <w:tc>
          <w:tcPr>
            <w:tcW w:w="1899" w:type="pct"/>
            <w:shd w:val="clear" w:color="auto" w:fill="auto"/>
            <w:tcMar>
              <w:top w:w="0" w:type="dxa"/>
              <w:left w:w="0" w:type="dxa"/>
              <w:bottom w:w="0" w:type="dxa"/>
              <w:right w:w="0" w:type="dxa"/>
            </w:tcMar>
            <w:vAlign w:val="center"/>
          </w:tcPr>
          <w:p w14:paraId="74F88B65" w14:textId="17FAD7F5"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Provision for long-term financial investment</w:t>
            </w:r>
          </w:p>
        </w:tc>
        <w:tc>
          <w:tcPr>
            <w:tcW w:w="1042" w:type="pct"/>
            <w:shd w:val="clear" w:color="auto" w:fill="auto"/>
            <w:tcMar>
              <w:top w:w="0" w:type="dxa"/>
              <w:left w:w="0" w:type="dxa"/>
              <w:bottom w:w="0" w:type="dxa"/>
              <w:right w:w="0" w:type="dxa"/>
            </w:tcMar>
            <w:vAlign w:val="center"/>
          </w:tcPr>
          <w:p w14:paraId="7E089ED1"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(868,651,325)</w:t>
            </w:r>
          </w:p>
        </w:tc>
        <w:tc>
          <w:tcPr>
            <w:tcW w:w="1022" w:type="pct"/>
            <w:shd w:val="clear" w:color="auto" w:fill="auto"/>
            <w:tcMar>
              <w:top w:w="0" w:type="dxa"/>
              <w:left w:w="0" w:type="dxa"/>
              <w:bottom w:w="0" w:type="dxa"/>
              <w:right w:w="0" w:type="dxa"/>
            </w:tcMar>
            <w:vAlign w:val="center"/>
          </w:tcPr>
          <w:p w14:paraId="2BC1C551"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265,771,413</w:t>
            </w:r>
          </w:p>
        </w:tc>
        <w:tc>
          <w:tcPr>
            <w:tcW w:w="1037" w:type="pct"/>
            <w:shd w:val="clear" w:color="auto" w:fill="auto"/>
            <w:tcMar>
              <w:top w:w="0" w:type="dxa"/>
              <w:left w:w="0" w:type="dxa"/>
              <w:bottom w:w="0" w:type="dxa"/>
              <w:right w:w="0" w:type="dxa"/>
            </w:tcMar>
            <w:vAlign w:val="center"/>
          </w:tcPr>
          <w:p w14:paraId="43BB84F9"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(602,879,912)</w:t>
            </w:r>
          </w:p>
        </w:tc>
      </w:tr>
      <w:tr w:rsidR="00FD38D8" w:rsidRPr="00D45020" w14:paraId="280219E3" w14:textId="77777777" w:rsidTr="00E8754C">
        <w:tc>
          <w:tcPr>
            <w:tcW w:w="1899" w:type="pct"/>
            <w:shd w:val="clear" w:color="auto" w:fill="auto"/>
            <w:tcMar>
              <w:top w:w="0" w:type="dxa"/>
              <w:left w:w="0" w:type="dxa"/>
              <w:bottom w:w="0" w:type="dxa"/>
              <w:right w:w="0" w:type="dxa"/>
            </w:tcMar>
            <w:vAlign w:val="center"/>
          </w:tcPr>
          <w:p w14:paraId="0AC029D3"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Long-term prepaid expense</w:t>
            </w:r>
          </w:p>
        </w:tc>
        <w:tc>
          <w:tcPr>
            <w:tcW w:w="1042" w:type="pct"/>
            <w:shd w:val="clear" w:color="auto" w:fill="auto"/>
            <w:tcMar>
              <w:top w:w="0" w:type="dxa"/>
              <w:left w:w="0" w:type="dxa"/>
              <w:bottom w:w="0" w:type="dxa"/>
              <w:right w:w="0" w:type="dxa"/>
            </w:tcMar>
            <w:vAlign w:val="center"/>
          </w:tcPr>
          <w:p w14:paraId="091149CA"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20,812,109,960</w:t>
            </w:r>
          </w:p>
        </w:tc>
        <w:tc>
          <w:tcPr>
            <w:tcW w:w="1022" w:type="pct"/>
            <w:shd w:val="clear" w:color="auto" w:fill="auto"/>
            <w:tcMar>
              <w:top w:w="0" w:type="dxa"/>
              <w:left w:w="0" w:type="dxa"/>
              <w:bottom w:w="0" w:type="dxa"/>
              <w:right w:w="0" w:type="dxa"/>
            </w:tcMar>
            <w:vAlign w:val="center"/>
          </w:tcPr>
          <w:p w14:paraId="77487E74"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(972,139,955)</w:t>
            </w:r>
          </w:p>
        </w:tc>
        <w:tc>
          <w:tcPr>
            <w:tcW w:w="1037" w:type="pct"/>
            <w:shd w:val="clear" w:color="auto" w:fill="auto"/>
            <w:tcMar>
              <w:top w:w="0" w:type="dxa"/>
              <w:left w:w="0" w:type="dxa"/>
              <w:bottom w:w="0" w:type="dxa"/>
              <w:right w:w="0" w:type="dxa"/>
            </w:tcMar>
            <w:vAlign w:val="center"/>
          </w:tcPr>
          <w:p w14:paraId="3328318F"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19,839,970,005</w:t>
            </w:r>
          </w:p>
        </w:tc>
      </w:tr>
      <w:tr w:rsidR="00FD38D8" w:rsidRPr="00D45020" w14:paraId="0349BB8C" w14:textId="77777777" w:rsidTr="00E8754C">
        <w:tc>
          <w:tcPr>
            <w:tcW w:w="1899" w:type="pct"/>
            <w:shd w:val="clear" w:color="auto" w:fill="auto"/>
            <w:tcMar>
              <w:top w:w="0" w:type="dxa"/>
              <w:left w:w="0" w:type="dxa"/>
              <w:bottom w:w="0" w:type="dxa"/>
              <w:right w:w="0" w:type="dxa"/>
            </w:tcMar>
            <w:vAlign w:val="center"/>
          </w:tcPr>
          <w:p w14:paraId="73A7D242"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 xml:space="preserve">Short-term prepaid buyers </w:t>
            </w:r>
          </w:p>
        </w:tc>
        <w:tc>
          <w:tcPr>
            <w:tcW w:w="1042" w:type="pct"/>
            <w:shd w:val="clear" w:color="auto" w:fill="auto"/>
            <w:tcMar>
              <w:top w:w="0" w:type="dxa"/>
              <w:left w:w="0" w:type="dxa"/>
              <w:bottom w:w="0" w:type="dxa"/>
              <w:right w:w="0" w:type="dxa"/>
            </w:tcMar>
            <w:vAlign w:val="center"/>
          </w:tcPr>
          <w:p w14:paraId="083A220B"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5,614,551,372</w:t>
            </w:r>
          </w:p>
        </w:tc>
        <w:tc>
          <w:tcPr>
            <w:tcW w:w="1022" w:type="pct"/>
            <w:shd w:val="clear" w:color="auto" w:fill="auto"/>
            <w:tcMar>
              <w:top w:w="0" w:type="dxa"/>
              <w:left w:w="0" w:type="dxa"/>
              <w:bottom w:w="0" w:type="dxa"/>
              <w:right w:w="0" w:type="dxa"/>
            </w:tcMar>
            <w:vAlign w:val="center"/>
          </w:tcPr>
          <w:p w14:paraId="3938C169"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(438,099,226)</w:t>
            </w:r>
          </w:p>
        </w:tc>
        <w:tc>
          <w:tcPr>
            <w:tcW w:w="1037" w:type="pct"/>
            <w:shd w:val="clear" w:color="auto" w:fill="auto"/>
            <w:tcMar>
              <w:top w:w="0" w:type="dxa"/>
              <w:left w:w="0" w:type="dxa"/>
              <w:bottom w:w="0" w:type="dxa"/>
              <w:right w:w="0" w:type="dxa"/>
            </w:tcMar>
            <w:vAlign w:val="center"/>
          </w:tcPr>
          <w:p w14:paraId="5160A293"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5,176,452,146</w:t>
            </w:r>
          </w:p>
        </w:tc>
      </w:tr>
      <w:tr w:rsidR="00FD38D8" w:rsidRPr="00D45020" w14:paraId="7050BD55" w14:textId="77777777" w:rsidTr="00E8754C">
        <w:tc>
          <w:tcPr>
            <w:tcW w:w="1899" w:type="pct"/>
            <w:shd w:val="clear" w:color="auto" w:fill="auto"/>
            <w:tcMar>
              <w:top w:w="0" w:type="dxa"/>
              <w:left w:w="0" w:type="dxa"/>
              <w:bottom w:w="0" w:type="dxa"/>
              <w:right w:w="0" w:type="dxa"/>
            </w:tcMar>
            <w:vAlign w:val="center"/>
          </w:tcPr>
          <w:p w14:paraId="3EAC8AAE"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Taxes and other payables to the State</w:t>
            </w:r>
          </w:p>
        </w:tc>
        <w:tc>
          <w:tcPr>
            <w:tcW w:w="1042" w:type="pct"/>
            <w:shd w:val="clear" w:color="auto" w:fill="auto"/>
            <w:tcMar>
              <w:top w:w="0" w:type="dxa"/>
              <w:left w:w="0" w:type="dxa"/>
              <w:bottom w:w="0" w:type="dxa"/>
              <w:right w:w="0" w:type="dxa"/>
            </w:tcMar>
            <w:vAlign w:val="center"/>
          </w:tcPr>
          <w:p w14:paraId="7C50FE1D"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12,082,848,700</w:t>
            </w:r>
          </w:p>
        </w:tc>
        <w:tc>
          <w:tcPr>
            <w:tcW w:w="1022" w:type="pct"/>
            <w:shd w:val="clear" w:color="auto" w:fill="auto"/>
            <w:tcMar>
              <w:top w:w="0" w:type="dxa"/>
              <w:left w:w="0" w:type="dxa"/>
              <w:bottom w:w="0" w:type="dxa"/>
              <w:right w:w="0" w:type="dxa"/>
            </w:tcMar>
            <w:vAlign w:val="center"/>
          </w:tcPr>
          <w:p w14:paraId="4A31ABA0"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2,130,536,902</w:t>
            </w:r>
          </w:p>
        </w:tc>
        <w:tc>
          <w:tcPr>
            <w:tcW w:w="1037" w:type="pct"/>
            <w:shd w:val="clear" w:color="auto" w:fill="auto"/>
            <w:tcMar>
              <w:top w:w="0" w:type="dxa"/>
              <w:left w:w="0" w:type="dxa"/>
              <w:bottom w:w="0" w:type="dxa"/>
              <w:right w:w="0" w:type="dxa"/>
            </w:tcMar>
            <w:vAlign w:val="center"/>
          </w:tcPr>
          <w:p w14:paraId="6E91F429"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14,213,385,602</w:t>
            </w:r>
          </w:p>
        </w:tc>
      </w:tr>
      <w:tr w:rsidR="00FD38D8" w:rsidRPr="00D45020" w14:paraId="5DA973C7" w14:textId="77777777" w:rsidTr="00E8754C">
        <w:tc>
          <w:tcPr>
            <w:tcW w:w="1899" w:type="pct"/>
            <w:shd w:val="clear" w:color="auto" w:fill="auto"/>
            <w:tcMar>
              <w:top w:w="0" w:type="dxa"/>
              <w:left w:w="0" w:type="dxa"/>
              <w:bottom w:w="0" w:type="dxa"/>
              <w:right w:w="0" w:type="dxa"/>
            </w:tcMar>
            <w:vAlign w:val="center"/>
          </w:tcPr>
          <w:p w14:paraId="647C4A35"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Undistributed profit after tax</w:t>
            </w:r>
          </w:p>
        </w:tc>
        <w:tc>
          <w:tcPr>
            <w:tcW w:w="1042" w:type="pct"/>
            <w:shd w:val="clear" w:color="auto" w:fill="auto"/>
            <w:tcMar>
              <w:top w:w="0" w:type="dxa"/>
              <w:left w:w="0" w:type="dxa"/>
              <w:bottom w:w="0" w:type="dxa"/>
              <w:right w:w="0" w:type="dxa"/>
            </w:tcMar>
            <w:vAlign w:val="center"/>
          </w:tcPr>
          <w:p w14:paraId="0F37B57D"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153,186,318,981</w:t>
            </w:r>
          </w:p>
        </w:tc>
        <w:tc>
          <w:tcPr>
            <w:tcW w:w="1022" w:type="pct"/>
            <w:shd w:val="clear" w:color="auto" w:fill="auto"/>
            <w:tcMar>
              <w:top w:w="0" w:type="dxa"/>
              <w:left w:w="0" w:type="dxa"/>
              <w:bottom w:w="0" w:type="dxa"/>
              <w:right w:w="0" w:type="dxa"/>
            </w:tcMar>
            <w:vAlign w:val="center"/>
          </w:tcPr>
          <w:p w14:paraId="673A34E7"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7,518,538,608</w:t>
            </w:r>
          </w:p>
        </w:tc>
        <w:tc>
          <w:tcPr>
            <w:tcW w:w="1037" w:type="pct"/>
            <w:shd w:val="clear" w:color="auto" w:fill="auto"/>
            <w:tcMar>
              <w:top w:w="0" w:type="dxa"/>
              <w:left w:w="0" w:type="dxa"/>
              <w:bottom w:w="0" w:type="dxa"/>
              <w:right w:w="0" w:type="dxa"/>
            </w:tcMar>
            <w:vAlign w:val="center"/>
          </w:tcPr>
          <w:p w14:paraId="3F0C8079"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160,704,857,589</w:t>
            </w:r>
          </w:p>
        </w:tc>
      </w:tr>
    </w:tbl>
    <w:p w14:paraId="48CB809E" w14:textId="77777777" w:rsidR="00FD38D8" w:rsidRPr="00D45020" w:rsidRDefault="00E8754C" w:rsidP="00E8754C">
      <w:pPr>
        <w:widowControl/>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45020">
        <w:rPr>
          <w:rFonts w:ascii="Arial" w:hAnsi="Arial" w:cs="Arial"/>
          <w:color w:val="010000"/>
          <w:sz w:val="20"/>
        </w:rPr>
        <w:t>Report on business activities results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61"/>
        <w:gridCol w:w="2460"/>
        <w:gridCol w:w="2243"/>
        <w:gridCol w:w="2353"/>
      </w:tblGrid>
      <w:tr w:rsidR="00FD38D8" w:rsidRPr="00D45020" w14:paraId="63B76CD9" w14:textId="77777777" w:rsidTr="00E8754C">
        <w:tc>
          <w:tcPr>
            <w:tcW w:w="1087" w:type="pct"/>
            <w:vMerge w:val="restart"/>
            <w:shd w:val="clear" w:color="auto" w:fill="auto"/>
            <w:tcMar>
              <w:top w:w="0" w:type="dxa"/>
              <w:left w:w="0" w:type="dxa"/>
              <w:bottom w:w="0" w:type="dxa"/>
              <w:right w:w="0" w:type="dxa"/>
            </w:tcMar>
            <w:vAlign w:val="center"/>
          </w:tcPr>
          <w:p w14:paraId="421219BF"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Targets</w:t>
            </w:r>
          </w:p>
        </w:tc>
        <w:tc>
          <w:tcPr>
            <w:tcW w:w="1364" w:type="pct"/>
            <w:shd w:val="clear" w:color="auto" w:fill="auto"/>
            <w:tcMar>
              <w:top w:w="0" w:type="dxa"/>
              <w:left w:w="0" w:type="dxa"/>
              <w:bottom w:w="0" w:type="dxa"/>
              <w:right w:w="0" w:type="dxa"/>
            </w:tcMar>
            <w:vAlign w:val="center"/>
          </w:tcPr>
          <w:p w14:paraId="4B7280E3"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2022</w:t>
            </w:r>
          </w:p>
          <w:p w14:paraId="02C76FC4" w14:textId="12101A5E"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 xml:space="preserve">(Presented in the </w:t>
            </w:r>
            <w:r w:rsidR="00A3717E" w:rsidRPr="00D45020">
              <w:rPr>
                <w:rFonts w:ascii="Arial" w:hAnsi="Arial" w:cs="Arial"/>
                <w:color w:val="010000"/>
                <w:sz w:val="20"/>
              </w:rPr>
              <w:t>Financial Statements</w:t>
            </w:r>
            <w:r w:rsidRPr="00D45020">
              <w:rPr>
                <w:rFonts w:ascii="Arial" w:hAnsi="Arial" w:cs="Arial"/>
                <w:color w:val="010000"/>
                <w:sz w:val="20"/>
              </w:rPr>
              <w:t xml:space="preserve"> of last year)</w:t>
            </w:r>
          </w:p>
        </w:tc>
        <w:tc>
          <w:tcPr>
            <w:tcW w:w="1244" w:type="pct"/>
            <w:shd w:val="clear" w:color="auto" w:fill="auto"/>
            <w:tcMar>
              <w:top w:w="0" w:type="dxa"/>
              <w:left w:w="0" w:type="dxa"/>
              <w:bottom w:w="0" w:type="dxa"/>
              <w:right w:w="0" w:type="dxa"/>
            </w:tcMar>
            <w:vAlign w:val="center"/>
          </w:tcPr>
          <w:p w14:paraId="381769E0"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2022</w:t>
            </w:r>
          </w:p>
          <w:p w14:paraId="75458EA4" w14:textId="16BCE7B5" w:rsidR="00FD38D8" w:rsidRPr="00D45020" w:rsidRDefault="00575F04" w:rsidP="00E8754C">
            <w:pPr>
              <w:widowControl/>
              <w:spacing w:after="120" w:line="360" w:lineRule="auto"/>
              <w:rPr>
                <w:rFonts w:ascii="Arial" w:eastAsia="Arial" w:hAnsi="Arial" w:cs="Arial"/>
                <w:color w:val="010000"/>
                <w:sz w:val="20"/>
                <w:szCs w:val="20"/>
              </w:rPr>
            </w:pPr>
            <w:r>
              <w:rPr>
                <w:rFonts w:ascii="Arial" w:hAnsi="Arial" w:cs="Arial"/>
                <w:color w:val="010000"/>
                <w:sz w:val="20"/>
              </w:rPr>
              <w:t>(Adjustments by</w:t>
            </w:r>
            <w:r w:rsidR="00E8754C" w:rsidRPr="00D45020">
              <w:rPr>
                <w:rFonts w:ascii="Arial" w:hAnsi="Arial" w:cs="Arial"/>
                <w:color w:val="010000"/>
                <w:sz w:val="20"/>
              </w:rPr>
              <w:t xml:space="preserve"> the State Audit)</w:t>
            </w:r>
          </w:p>
        </w:tc>
        <w:tc>
          <w:tcPr>
            <w:tcW w:w="1305" w:type="pct"/>
            <w:shd w:val="clear" w:color="auto" w:fill="auto"/>
            <w:tcMar>
              <w:top w:w="0" w:type="dxa"/>
              <w:left w:w="0" w:type="dxa"/>
              <w:bottom w:w="0" w:type="dxa"/>
              <w:right w:w="0" w:type="dxa"/>
            </w:tcMar>
            <w:vAlign w:val="center"/>
          </w:tcPr>
          <w:p w14:paraId="087E1960"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 xml:space="preserve">2022 </w:t>
            </w:r>
          </w:p>
          <w:p w14:paraId="68A02BA6" w14:textId="65ABD95F"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 xml:space="preserve">(Adjusted on the </w:t>
            </w:r>
            <w:r w:rsidR="00A3717E" w:rsidRPr="00D45020">
              <w:rPr>
                <w:rFonts w:ascii="Arial" w:hAnsi="Arial" w:cs="Arial"/>
                <w:color w:val="010000"/>
                <w:sz w:val="20"/>
              </w:rPr>
              <w:t>Financial Statements</w:t>
            </w:r>
            <w:r w:rsidRPr="00D45020">
              <w:rPr>
                <w:rFonts w:ascii="Arial" w:hAnsi="Arial" w:cs="Arial"/>
                <w:color w:val="010000"/>
                <w:sz w:val="20"/>
              </w:rPr>
              <w:t xml:space="preserve"> 2023)</w:t>
            </w:r>
          </w:p>
        </w:tc>
      </w:tr>
      <w:tr w:rsidR="00FD38D8" w:rsidRPr="00D45020" w14:paraId="30C564A7" w14:textId="77777777" w:rsidTr="00E8754C">
        <w:tc>
          <w:tcPr>
            <w:tcW w:w="1087" w:type="pct"/>
            <w:vMerge/>
            <w:shd w:val="clear" w:color="auto" w:fill="auto"/>
            <w:tcMar>
              <w:top w:w="0" w:type="dxa"/>
              <w:left w:w="0" w:type="dxa"/>
              <w:bottom w:w="0" w:type="dxa"/>
              <w:right w:w="0" w:type="dxa"/>
            </w:tcMar>
            <w:vAlign w:val="center"/>
          </w:tcPr>
          <w:p w14:paraId="0ED7B01B" w14:textId="77777777" w:rsidR="00FD38D8" w:rsidRPr="00D45020" w:rsidRDefault="00FD38D8" w:rsidP="00E8754C">
            <w:pPr>
              <w:pBdr>
                <w:top w:val="nil"/>
                <w:left w:val="nil"/>
                <w:bottom w:val="nil"/>
                <w:right w:val="nil"/>
                <w:between w:val="nil"/>
              </w:pBdr>
              <w:spacing w:after="120" w:line="360" w:lineRule="auto"/>
              <w:rPr>
                <w:rFonts w:ascii="Arial" w:eastAsia="Arial" w:hAnsi="Arial" w:cs="Arial"/>
                <w:color w:val="010000"/>
                <w:sz w:val="20"/>
                <w:szCs w:val="20"/>
              </w:rPr>
            </w:pPr>
          </w:p>
        </w:tc>
        <w:tc>
          <w:tcPr>
            <w:tcW w:w="1364" w:type="pct"/>
            <w:shd w:val="clear" w:color="auto" w:fill="auto"/>
            <w:tcMar>
              <w:top w:w="0" w:type="dxa"/>
              <w:left w:w="0" w:type="dxa"/>
              <w:bottom w:w="0" w:type="dxa"/>
              <w:right w:w="0" w:type="dxa"/>
            </w:tcMar>
            <w:vAlign w:val="center"/>
          </w:tcPr>
          <w:p w14:paraId="038BA52C"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VND</w:t>
            </w:r>
          </w:p>
        </w:tc>
        <w:tc>
          <w:tcPr>
            <w:tcW w:w="1244" w:type="pct"/>
            <w:shd w:val="clear" w:color="auto" w:fill="auto"/>
            <w:tcMar>
              <w:top w:w="0" w:type="dxa"/>
              <w:left w:w="0" w:type="dxa"/>
              <w:bottom w:w="0" w:type="dxa"/>
              <w:right w:w="0" w:type="dxa"/>
            </w:tcMar>
            <w:vAlign w:val="center"/>
          </w:tcPr>
          <w:p w14:paraId="1F4C46A7"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VND</w:t>
            </w:r>
          </w:p>
        </w:tc>
        <w:tc>
          <w:tcPr>
            <w:tcW w:w="1305" w:type="pct"/>
            <w:shd w:val="clear" w:color="auto" w:fill="auto"/>
            <w:tcMar>
              <w:top w:w="0" w:type="dxa"/>
              <w:left w:w="0" w:type="dxa"/>
              <w:bottom w:w="0" w:type="dxa"/>
              <w:right w:w="0" w:type="dxa"/>
            </w:tcMar>
            <w:vAlign w:val="center"/>
          </w:tcPr>
          <w:p w14:paraId="4C3F3AF3"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VND</w:t>
            </w:r>
          </w:p>
        </w:tc>
      </w:tr>
      <w:tr w:rsidR="00FD38D8" w:rsidRPr="00D45020" w14:paraId="732D6AA0" w14:textId="77777777" w:rsidTr="00E8754C">
        <w:tc>
          <w:tcPr>
            <w:tcW w:w="1087" w:type="pct"/>
            <w:shd w:val="clear" w:color="auto" w:fill="auto"/>
            <w:tcMar>
              <w:top w:w="0" w:type="dxa"/>
              <w:left w:w="0" w:type="dxa"/>
              <w:bottom w:w="0" w:type="dxa"/>
              <w:right w:w="0" w:type="dxa"/>
            </w:tcMar>
            <w:vAlign w:val="center"/>
          </w:tcPr>
          <w:p w14:paraId="1FB3357C"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lastRenderedPageBreak/>
              <w:t>Cost of goods sold and service provision</w:t>
            </w:r>
          </w:p>
        </w:tc>
        <w:tc>
          <w:tcPr>
            <w:tcW w:w="1364" w:type="pct"/>
            <w:shd w:val="clear" w:color="auto" w:fill="auto"/>
            <w:tcMar>
              <w:top w:w="0" w:type="dxa"/>
              <w:left w:w="0" w:type="dxa"/>
              <w:bottom w:w="0" w:type="dxa"/>
              <w:right w:w="0" w:type="dxa"/>
            </w:tcMar>
            <w:vAlign w:val="center"/>
          </w:tcPr>
          <w:p w14:paraId="39178F38"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1,707,182,782,119</w:t>
            </w:r>
          </w:p>
        </w:tc>
        <w:tc>
          <w:tcPr>
            <w:tcW w:w="1244" w:type="pct"/>
            <w:shd w:val="clear" w:color="auto" w:fill="auto"/>
            <w:tcMar>
              <w:top w:w="0" w:type="dxa"/>
              <w:left w:w="0" w:type="dxa"/>
              <w:bottom w:w="0" w:type="dxa"/>
              <w:right w:w="0" w:type="dxa"/>
            </w:tcMar>
            <w:vAlign w:val="center"/>
          </w:tcPr>
          <w:p w14:paraId="57DE2186"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(350,560,917)</w:t>
            </w:r>
          </w:p>
        </w:tc>
        <w:tc>
          <w:tcPr>
            <w:tcW w:w="1305" w:type="pct"/>
            <w:shd w:val="clear" w:color="auto" w:fill="auto"/>
            <w:tcMar>
              <w:top w:w="0" w:type="dxa"/>
              <w:left w:w="0" w:type="dxa"/>
              <w:bottom w:w="0" w:type="dxa"/>
              <w:right w:w="0" w:type="dxa"/>
            </w:tcMar>
            <w:vAlign w:val="center"/>
          </w:tcPr>
          <w:p w14:paraId="7FB8E4C6"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1,706,832,221,202</w:t>
            </w:r>
          </w:p>
        </w:tc>
      </w:tr>
      <w:tr w:rsidR="00FD38D8" w:rsidRPr="00D45020" w14:paraId="7A5D9A46" w14:textId="77777777" w:rsidTr="00E8754C">
        <w:tc>
          <w:tcPr>
            <w:tcW w:w="1087" w:type="pct"/>
            <w:shd w:val="clear" w:color="auto" w:fill="auto"/>
            <w:tcMar>
              <w:top w:w="0" w:type="dxa"/>
              <w:left w:w="0" w:type="dxa"/>
              <w:bottom w:w="0" w:type="dxa"/>
              <w:right w:w="0" w:type="dxa"/>
            </w:tcMar>
            <w:vAlign w:val="center"/>
          </w:tcPr>
          <w:p w14:paraId="30606F24" w14:textId="55C9DA8F"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Financial expenses</w:t>
            </w:r>
          </w:p>
        </w:tc>
        <w:tc>
          <w:tcPr>
            <w:tcW w:w="1364" w:type="pct"/>
            <w:shd w:val="clear" w:color="auto" w:fill="auto"/>
            <w:tcMar>
              <w:top w:w="0" w:type="dxa"/>
              <w:left w:w="0" w:type="dxa"/>
              <w:bottom w:w="0" w:type="dxa"/>
              <w:right w:w="0" w:type="dxa"/>
            </w:tcMar>
            <w:vAlign w:val="center"/>
          </w:tcPr>
          <w:p w14:paraId="7E948B05"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25,870,427,537</w:t>
            </w:r>
          </w:p>
        </w:tc>
        <w:tc>
          <w:tcPr>
            <w:tcW w:w="1244" w:type="pct"/>
            <w:shd w:val="clear" w:color="auto" w:fill="auto"/>
            <w:tcMar>
              <w:top w:w="0" w:type="dxa"/>
              <w:left w:w="0" w:type="dxa"/>
              <w:bottom w:w="0" w:type="dxa"/>
              <w:right w:w="0" w:type="dxa"/>
            </w:tcMar>
            <w:vAlign w:val="center"/>
          </w:tcPr>
          <w:p w14:paraId="23A641F1"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(265,771,413)</w:t>
            </w:r>
          </w:p>
        </w:tc>
        <w:tc>
          <w:tcPr>
            <w:tcW w:w="1305" w:type="pct"/>
            <w:shd w:val="clear" w:color="auto" w:fill="auto"/>
            <w:tcMar>
              <w:top w:w="0" w:type="dxa"/>
              <w:left w:w="0" w:type="dxa"/>
              <w:bottom w:w="0" w:type="dxa"/>
              <w:right w:w="0" w:type="dxa"/>
            </w:tcMar>
            <w:vAlign w:val="center"/>
          </w:tcPr>
          <w:p w14:paraId="3C3C8F98"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25,604,656,124</w:t>
            </w:r>
          </w:p>
        </w:tc>
      </w:tr>
      <w:tr w:rsidR="00FD38D8" w:rsidRPr="00D45020" w14:paraId="3AA58D39" w14:textId="77777777" w:rsidTr="00E8754C">
        <w:tc>
          <w:tcPr>
            <w:tcW w:w="1087" w:type="pct"/>
            <w:shd w:val="clear" w:color="auto" w:fill="auto"/>
            <w:tcMar>
              <w:top w:w="0" w:type="dxa"/>
              <w:left w:w="0" w:type="dxa"/>
              <w:bottom w:w="0" w:type="dxa"/>
              <w:right w:w="0" w:type="dxa"/>
            </w:tcMar>
            <w:vAlign w:val="center"/>
          </w:tcPr>
          <w:p w14:paraId="73F46A62" w14:textId="28AED263"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Other incomes</w:t>
            </w:r>
          </w:p>
        </w:tc>
        <w:tc>
          <w:tcPr>
            <w:tcW w:w="1364" w:type="pct"/>
            <w:shd w:val="clear" w:color="auto" w:fill="auto"/>
            <w:tcMar>
              <w:top w:w="0" w:type="dxa"/>
              <w:left w:w="0" w:type="dxa"/>
              <w:bottom w:w="0" w:type="dxa"/>
              <w:right w:w="0" w:type="dxa"/>
            </w:tcMar>
            <w:vAlign w:val="center"/>
          </w:tcPr>
          <w:p w14:paraId="02A234A8"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7,129,248,633</w:t>
            </w:r>
          </w:p>
        </w:tc>
        <w:tc>
          <w:tcPr>
            <w:tcW w:w="1244" w:type="pct"/>
            <w:shd w:val="clear" w:color="auto" w:fill="auto"/>
            <w:tcMar>
              <w:top w:w="0" w:type="dxa"/>
              <w:left w:w="0" w:type="dxa"/>
              <w:bottom w:w="0" w:type="dxa"/>
              <w:right w:w="0" w:type="dxa"/>
            </w:tcMar>
            <w:vAlign w:val="center"/>
          </w:tcPr>
          <w:p w14:paraId="23CAB8AC"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9,032,743,180</w:t>
            </w:r>
          </w:p>
        </w:tc>
        <w:tc>
          <w:tcPr>
            <w:tcW w:w="1305" w:type="pct"/>
            <w:shd w:val="clear" w:color="auto" w:fill="auto"/>
            <w:tcMar>
              <w:top w:w="0" w:type="dxa"/>
              <w:left w:w="0" w:type="dxa"/>
              <w:bottom w:w="0" w:type="dxa"/>
              <w:right w:w="0" w:type="dxa"/>
            </w:tcMar>
            <w:vAlign w:val="center"/>
          </w:tcPr>
          <w:p w14:paraId="331B5556"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16,161,991,813</w:t>
            </w:r>
          </w:p>
        </w:tc>
      </w:tr>
      <w:tr w:rsidR="00FD38D8" w:rsidRPr="00D45020" w14:paraId="6E2BEC7F" w14:textId="77777777" w:rsidTr="00E8754C">
        <w:tc>
          <w:tcPr>
            <w:tcW w:w="1087" w:type="pct"/>
            <w:shd w:val="clear" w:color="auto" w:fill="auto"/>
            <w:tcMar>
              <w:top w:w="0" w:type="dxa"/>
              <w:left w:w="0" w:type="dxa"/>
              <w:bottom w:w="0" w:type="dxa"/>
              <w:right w:w="0" w:type="dxa"/>
            </w:tcMar>
            <w:vAlign w:val="center"/>
          </w:tcPr>
          <w:p w14:paraId="7C279A65"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Current corporate income tax expense</w:t>
            </w:r>
          </w:p>
        </w:tc>
        <w:tc>
          <w:tcPr>
            <w:tcW w:w="1364" w:type="pct"/>
            <w:shd w:val="clear" w:color="auto" w:fill="auto"/>
            <w:tcMar>
              <w:top w:w="0" w:type="dxa"/>
              <w:left w:w="0" w:type="dxa"/>
              <w:bottom w:w="0" w:type="dxa"/>
              <w:right w:w="0" w:type="dxa"/>
            </w:tcMar>
            <w:vAlign w:val="center"/>
          </w:tcPr>
          <w:p w14:paraId="165B1AF7"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39,783,419,997</w:t>
            </w:r>
          </w:p>
        </w:tc>
        <w:tc>
          <w:tcPr>
            <w:tcW w:w="1244" w:type="pct"/>
            <w:shd w:val="clear" w:color="auto" w:fill="auto"/>
            <w:tcMar>
              <w:top w:w="0" w:type="dxa"/>
              <w:left w:w="0" w:type="dxa"/>
              <w:bottom w:w="0" w:type="dxa"/>
              <w:right w:w="0" w:type="dxa"/>
            </w:tcMar>
            <w:vAlign w:val="center"/>
          </w:tcPr>
          <w:p w14:paraId="40263C63"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2,130,536,902</w:t>
            </w:r>
          </w:p>
        </w:tc>
        <w:tc>
          <w:tcPr>
            <w:tcW w:w="1305" w:type="pct"/>
            <w:shd w:val="clear" w:color="auto" w:fill="auto"/>
            <w:tcMar>
              <w:top w:w="0" w:type="dxa"/>
              <w:left w:w="0" w:type="dxa"/>
              <w:bottom w:w="0" w:type="dxa"/>
              <w:right w:w="0" w:type="dxa"/>
            </w:tcMar>
            <w:vAlign w:val="center"/>
          </w:tcPr>
          <w:p w14:paraId="15E786D2" w14:textId="77777777" w:rsidR="00FD38D8" w:rsidRPr="00D45020" w:rsidRDefault="00E8754C" w:rsidP="00E8754C">
            <w:pPr>
              <w:widowControl/>
              <w:spacing w:after="120" w:line="360" w:lineRule="auto"/>
              <w:rPr>
                <w:rFonts w:ascii="Arial" w:eastAsia="Arial" w:hAnsi="Arial" w:cs="Arial"/>
                <w:color w:val="010000"/>
                <w:sz w:val="20"/>
                <w:szCs w:val="20"/>
              </w:rPr>
            </w:pPr>
            <w:r w:rsidRPr="00D45020">
              <w:rPr>
                <w:rFonts w:ascii="Arial" w:hAnsi="Arial" w:cs="Arial"/>
                <w:color w:val="010000"/>
                <w:sz w:val="20"/>
              </w:rPr>
              <w:t>41,913,956,899</w:t>
            </w:r>
          </w:p>
        </w:tc>
      </w:tr>
    </w:tbl>
    <w:p w14:paraId="261CA58C" w14:textId="3F3FE23D" w:rsidR="00FD38D8" w:rsidRPr="00D45020" w:rsidRDefault="00E8754C" w:rsidP="00575F04">
      <w:pPr>
        <w:widowControl/>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45020">
        <w:rPr>
          <w:rFonts w:ascii="Arial" w:hAnsi="Arial" w:cs="Arial"/>
          <w:color w:val="010000"/>
          <w:sz w:val="20"/>
        </w:rPr>
        <w:t>Upward revision for inventories on December 31, 2022 and downward revision for ot</w:t>
      </w:r>
      <w:r w:rsidR="00575F04">
        <w:rPr>
          <w:rFonts w:ascii="Arial" w:hAnsi="Arial" w:cs="Arial"/>
          <w:color w:val="010000"/>
          <w:sz w:val="20"/>
        </w:rPr>
        <w:t>her incomes of the year ended</w:t>
      </w:r>
      <w:r w:rsidRPr="00D45020">
        <w:rPr>
          <w:rFonts w:ascii="Arial" w:hAnsi="Arial" w:cs="Arial"/>
          <w:color w:val="010000"/>
          <w:sz w:val="20"/>
        </w:rPr>
        <w:t xml:space="preserve"> the same date for the amount of fabric the customers gave the Company without collecting </w:t>
      </w:r>
      <w:r w:rsidR="00AA6829" w:rsidRPr="00D45020">
        <w:rPr>
          <w:rFonts w:ascii="Arial" w:hAnsi="Arial" w:cs="Arial"/>
          <w:color w:val="010000"/>
          <w:sz w:val="20"/>
        </w:rPr>
        <w:t xml:space="preserve">a </w:t>
      </w:r>
      <w:r w:rsidRPr="00D45020">
        <w:rPr>
          <w:rFonts w:ascii="Arial" w:hAnsi="Arial" w:cs="Arial"/>
          <w:color w:val="010000"/>
          <w:sz w:val="20"/>
        </w:rPr>
        <w:t xml:space="preserve">fee </w:t>
      </w:r>
      <w:r w:rsidR="00AA6829" w:rsidRPr="00D45020">
        <w:rPr>
          <w:rFonts w:ascii="Arial" w:hAnsi="Arial" w:cs="Arial"/>
          <w:color w:val="010000"/>
          <w:sz w:val="20"/>
        </w:rPr>
        <w:t>of</w:t>
      </w:r>
      <w:r w:rsidRPr="00D45020">
        <w:rPr>
          <w:rFonts w:ascii="Arial" w:hAnsi="Arial" w:cs="Arial"/>
          <w:color w:val="010000"/>
          <w:sz w:val="20"/>
        </w:rPr>
        <w:t xml:space="preserve"> VND 8,595 million </w:t>
      </w:r>
    </w:p>
    <w:p w14:paraId="3407A46E" w14:textId="7271C81E" w:rsidR="00FD38D8" w:rsidRPr="00D45020" w:rsidRDefault="00E8754C" w:rsidP="00575F04">
      <w:pPr>
        <w:widowControl/>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45020">
        <w:rPr>
          <w:rFonts w:ascii="Arial" w:hAnsi="Arial" w:cs="Arial"/>
          <w:color w:val="010000"/>
          <w:sz w:val="20"/>
        </w:rPr>
        <w:t xml:space="preserve">Downward revision for the provision for devaluation in inventories </w:t>
      </w:r>
      <w:r w:rsidR="00575F04">
        <w:rPr>
          <w:rFonts w:ascii="Arial" w:hAnsi="Arial" w:cs="Arial"/>
          <w:color w:val="010000"/>
          <w:sz w:val="20"/>
        </w:rPr>
        <w:t>as of</w:t>
      </w:r>
      <w:r w:rsidR="003E4A51" w:rsidRPr="00D45020">
        <w:rPr>
          <w:rFonts w:ascii="Arial" w:hAnsi="Arial" w:cs="Arial"/>
          <w:color w:val="010000"/>
          <w:sz w:val="20"/>
        </w:rPr>
        <w:t xml:space="preserve"> December 31, 2022 and downward revision of </w:t>
      </w:r>
      <w:r w:rsidRPr="00D45020">
        <w:rPr>
          <w:rFonts w:ascii="Arial" w:hAnsi="Arial" w:cs="Arial"/>
          <w:color w:val="010000"/>
          <w:sz w:val="20"/>
        </w:rPr>
        <w:t>the cost of goods sold and service provision of the year ended on December 31, 2022 with the amount of VND 265 million</w:t>
      </w:r>
    </w:p>
    <w:p w14:paraId="243BEF1F" w14:textId="1A37C12C" w:rsidR="00FD38D8" w:rsidRPr="00D45020" w:rsidRDefault="00E8754C" w:rsidP="00575F04">
      <w:pPr>
        <w:widowControl/>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45020">
        <w:rPr>
          <w:rFonts w:ascii="Arial" w:hAnsi="Arial" w:cs="Arial"/>
          <w:color w:val="010000"/>
          <w:sz w:val="20"/>
        </w:rPr>
        <w:t>Upward revision for tangible fixed assets - historical cost, tangible fixed assets - accumulated depreciation, and downward rev</w:t>
      </w:r>
      <w:r w:rsidR="00575F04">
        <w:rPr>
          <w:rFonts w:ascii="Arial" w:hAnsi="Arial" w:cs="Arial"/>
          <w:color w:val="010000"/>
          <w:sz w:val="20"/>
        </w:rPr>
        <w:t>ision for the prepaid expense as of</w:t>
      </w:r>
      <w:r w:rsidRPr="00D45020">
        <w:rPr>
          <w:rFonts w:ascii="Arial" w:hAnsi="Arial" w:cs="Arial"/>
          <w:color w:val="010000"/>
          <w:sz w:val="20"/>
        </w:rPr>
        <w:t xml:space="preserve"> December 31, 2022 related to the capitalization of the expenses of big renovations with the amount of VND 1,164 million, VND 106 million, and VND 972 million, respectively. At the same time,</w:t>
      </w:r>
      <w:r w:rsidR="003E4A51" w:rsidRPr="00D45020">
        <w:rPr>
          <w:rFonts w:ascii="Arial" w:hAnsi="Arial" w:cs="Arial"/>
          <w:color w:val="010000"/>
          <w:sz w:val="20"/>
        </w:rPr>
        <w:t xml:space="preserve"> make</w:t>
      </w:r>
      <w:r w:rsidRPr="00D45020">
        <w:rPr>
          <w:rFonts w:ascii="Arial" w:hAnsi="Arial" w:cs="Arial"/>
          <w:color w:val="010000"/>
          <w:sz w:val="20"/>
        </w:rPr>
        <w:t xml:space="preserve"> downward revision for cost of goods sold and service provision of </w:t>
      </w:r>
      <w:r w:rsidR="003E4A51" w:rsidRPr="00D45020">
        <w:rPr>
          <w:rFonts w:ascii="Arial" w:hAnsi="Arial" w:cs="Arial"/>
          <w:color w:val="010000"/>
          <w:sz w:val="20"/>
        </w:rPr>
        <w:t>the</w:t>
      </w:r>
      <w:r w:rsidRPr="00D45020">
        <w:rPr>
          <w:rFonts w:ascii="Arial" w:hAnsi="Arial" w:cs="Arial"/>
          <w:color w:val="010000"/>
          <w:sz w:val="20"/>
        </w:rPr>
        <w:t xml:space="preserve"> year ended on the same date, corresponding to the related depreciation expense with the amount of VND 86 million</w:t>
      </w:r>
    </w:p>
    <w:p w14:paraId="2A5145F7" w14:textId="02C7ED62" w:rsidR="00FD38D8" w:rsidRPr="00D45020" w:rsidRDefault="00E8754C" w:rsidP="00575F04">
      <w:pPr>
        <w:widowControl/>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45020">
        <w:rPr>
          <w:rFonts w:ascii="Arial" w:hAnsi="Arial" w:cs="Arial"/>
          <w:color w:val="010000"/>
          <w:sz w:val="20"/>
        </w:rPr>
        <w:t xml:space="preserve">Downward revision for provision for long-term financial investment </w:t>
      </w:r>
      <w:r w:rsidR="00363839" w:rsidRPr="00D45020">
        <w:rPr>
          <w:rFonts w:ascii="Arial" w:hAnsi="Arial" w:cs="Arial"/>
          <w:color w:val="010000"/>
          <w:sz w:val="20"/>
        </w:rPr>
        <w:t xml:space="preserve">on December 31, 2022 </w:t>
      </w:r>
      <w:proofErr w:type="gramStart"/>
      <w:r w:rsidRPr="00D45020">
        <w:rPr>
          <w:rFonts w:ascii="Arial" w:hAnsi="Arial" w:cs="Arial"/>
          <w:color w:val="010000"/>
          <w:sz w:val="20"/>
        </w:rPr>
        <w:t xml:space="preserve">and </w:t>
      </w:r>
      <w:r w:rsidR="00363839" w:rsidRPr="00D45020">
        <w:rPr>
          <w:rFonts w:ascii="Arial" w:hAnsi="Arial" w:cs="Arial"/>
          <w:color w:val="010000"/>
          <w:sz w:val="20"/>
        </w:rPr>
        <w:t xml:space="preserve"> downward</w:t>
      </w:r>
      <w:proofErr w:type="gramEnd"/>
      <w:r w:rsidR="00363839" w:rsidRPr="00D45020">
        <w:rPr>
          <w:rFonts w:ascii="Arial" w:hAnsi="Arial" w:cs="Arial"/>
          <w:color w:val="010000"/>
          <w:sz w:val="20"/>
        </w:rPr>
        <w:t xml:space="preserve"> revision for </w:t>
      </w:r>
      <w:r w:rsidRPr="00D45020">
        <w:rPr>
          <w:rFonts w:ascii="Arial" w:hAnsi="Arial" w:cs="Arial"/>
          <w:color w:val="010000"/>
          <w:sz w:val="20"/>
        </w:rPr>
        <w:t xml:space="preserve">financial expenses </w:t>
      </w:r>
      <w:r w:rsidR="00363839" w:rsidRPr="00D45020">
        <w:rPr>
          <w:rFonts w:ascii="Arial" w:hAnsi="Arial" w:cs="Arial"/>
          <w:color w:val="010000"/>
          <w:sz w:val="20"/>
        </w:rPr>
        <w:t xml:space="preserve">for the fiscal year ending </w:t>
      </w:r>
      <w:r w:rsidRPr="00D45020">
        <w:rPr>
          <w:rFonts w:ascii="Arial" w:hAnsi="Arial" w:cs="Arial"/>
          <w:color w:val="010000"/>
          <w:sz w:val="20"/>
        </w:rPr>
        <w:t>on December 31, 2022 with the amount of VND 266 million</w:t>
      </w:r>
    </w:p>
    <w:p w14:paraId="0AF5D612" w14:textId="1DAA4B3D" w:rsidR="00FD38D8" w:rsidRPr="00D45020" w:rsidRDefault="00E8754C" w:rsidP="00575F04">
      <w:pPr>
        <w:widowControl/>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45020">
        <w:rPr>
          <w:rFonts w:ascii="Arial" w:hAnsi="Arial" w:cs="Arial"/>
          <w:color w:val="010000"/>
          <w:sz w:val="20"/>
        </w:rPr>
        <w:t>Downward</w:t>
      </w:r>
      <w:r w:rsidR="00575F04">
        <w:rPr>
          <w:rFonts w:ascii="Arial" w:hAnsi="Arial" w:cs="Arial"/>
          <w:color w:val="010000"/>
          <w:sz w:val="20"/>
        </w:rPr>
        <w:t xml:space="preserve"> revision for short-term prepayment to</w:t>
      </w:r>
      <w:r w:rsidRPr="00D45020">
        <w:rPr>
          <w:rFonts w:ascii="Arial" w:hAnsi="Arial" w:cs="Arial"/>
          <w:color w:val="010000"/>
          <w:sz w:val="20"/>
        </w:rPr>
        <w:t xml:space="preserve"> buyers</w:t>
      </w:r>
      <w:r w:rsidR="00363839" w:rsidRPr="00D45020">
        <w:rPr>
          <w:rFonts w:ascii="Arial" w:hAnsi="Arial" w:cs="Arial"/>
          <w:color w:val="010000"/>
          <w:sz w:val="20"/>
        </w:rPr>
        <w:t xml:space="preserve"> on December 31, 2022 </w:t>
      </w:r>
      <w:r w:rsidRPr="00D45020">
        <w:rPr>
          <w:rFonts w:ascii="Arial" w:hAnsi="Arial" w:cs="Arial"/>
          <w:color w:val="010000"/>
          <w:sz w:val="20"/>
        </w:rPr>
        <w:t xml:space="preserve">and upward revision for other incomes </w:t>
      </w:r>
      <w:r w:rsidR="00363839" w:rsidRPr="00D45020">
        <w:rPr>
          <w:rFonts w:ascii="Arial" w:hAnsi="Arial" w:cs="Arial"/>
          <w:color w:val="010000"/>
          <w:sz w:val="20"/>
        </w:rPr>
        <w:t xml:space="preserve">for the fiscal year ending on </w:t>
      </w:r>
      <w:r w:rsidRPr="00D45020">
        <w:rPr>
          <w:rFonts w:ascii="Arial" w:hAnsi="Arial" w:cs="Arial"/>
          <w:color w:val="010000"/>
          <w:sz w:val="20"/>
        </w:rPr>
        <w:t>December 31, 2022 with the amount of VND 438 million</w:t>
      </w:r>
    </w:p>
    <w:p w14:paraId="14223301" w14:textId="7D110BAA" w:rsidR="00FD38D8" w:rsidRPr="00D45020" w:rsidRDefault="00E8754C" w:rsidP="00575F04">
      <w:pPr>
        <w:widowControl/>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45020">
        <w:rPr>
          <w:rFonts w:ascii="Arial" w:hAnsi="Arial" w:cs="Arial"/>
          <w:color w:val="010000"/>
          <w:sz w:val="20"/>
        </w:rPr>
        <w:t xml:space="preserve">Upward revision for taxes and other payables to the State </w:t>
      </w:r>
      <w:r w:rsidR="00A12DEC" w:rsidRPr="00D45020">
        <w:rPr>
          <w:rFonts w:ascii="Arial" w:hAnsi="Arial" w:cs="Arial"/>
          <w:color w:val="010000"/>
          <w:sz w:val="20"/>
        </w:rPr>
        <w:t xml:space="preserve">on December 31, 2022, upward revision for </w:t>
      </w:r>
      <w:r w:rsidRPr="00D45020">
        <w:rPr>
          <w:rFonts w:ascii="Arial" w:hAnsi="Arial" w:cs="Arial"/>
          <w:color w:val="010000"/>
          <w:sz w:val="20"/>
        </w:rPr>
        <w:t xml:space="preserve">current corporate income tax expenses </w:t>
      </w:r>
      <w:r w:rsidR="00A12DEC" w:rsidRPr="00D45020">
        <w:rPr>
          <w:rFonts w:ascii="Arial" w:hAnsi="Arial" w:cs="Arial"/>
          <w:color w:val="010000"/>
          <w:sz w:val="20"/>
        </w:rPr>
        <w:t xml:space="preserve">for the fiscal year ending </w:t>
      </w:r>
      <w:r w:rsidRPr="00D45020">
        <w:rPr>
          <w:rFonts w:ascii="Arial" w:hAnsi="Arial" w:cs="Arial"/>
          <w:color w:val="010000"/>
          <w:sz w:val="20"/>
        </w:rPr>
        <w:t xml:space="preserve">on December 31, 2022 due to the impacts of </w:t>
      </w:r>
      <w:r w:rsidR="00363839" w:rsidRPr="00D45020">
        <w:rPr>
          <w:rFonts w:ascii="Arial" w:hAnsi="Arial" w:cs="Arial"/>
          <w:color w:val="010000"/>
          <w:sz w:val="20"/>
        </w:rPr>
        <w:t xml:space="preserve">the </w:t>
      </w:r>
      <w:r w:rsidRPr="00D45020">
        <w:rPr>
          <w:rFonts w:ascii="Arial" w:hAnsi="Arial" w:cs="Arial"/>
          <w:color w:val="010000"/>
          <w:sz w:val="20"/>
        </w:rPr>
        <w:t>above adjustment</w:t>
      </w:r>
      <w:r w:rsidR="00363839" w:rsidRPr="00D45020">
        <w:rPr>
          <w:rFonts w:ascii="Arial" w:hAnsi="Arial" w:cs="Arial"/>
          <w:color w:val="010000"/>
          <w:sz w:val="20"/>
        </w:rPr>
        <w:t xml:space="preserve"> of </w:t>
      </w:r>
      <w:r w:rsidRPr="00D45020">
        <w:rPr>
          <w:rFonts w:ascii="Arial" w:hAnsi="Arial" w:cs="Arial"/>
          <w:color w:val="010000"/>
          <w:sz w:val="20"/>
        </w:rPr>
        <w:t>VND 2,131 million</w:t>
      </w:r>
    </w:p>
    <w:p w14:paraId="7F0B6542" w14:textId="2B32E1F2" w:rsidR="00FD38D8" w:rsidRPr="00D45020" w:rsidRDefault="00E8754C" w:rsidP="00575F04">
      <w:pPr>
        <w:widowControl/>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45020">
        <w:rPr>
          <w:rFonts w:ascii="Arial" w:hAnsi="Arial" w:cs="Arial"/>
          <w:color w:val="010000"/>
          <w:sz w:val="20"/>
        </w:rPr>
        <w:t>Upward revision for u</w:t>
      </w:r>
      <w:r w:rsidR="00575F04">
        <w:rPr>
          <w:rFonts w:ascii="Arial" w:hAnsi="Arial" w:cs="Arial"/>
          <w:color w:val="010000"/>
          <w:sz w:val="20"/>
        </w:rPr>
        <w:t xml:space="preserve">ndistributed profit after tax as of December 31, 2022 due to </w:t>
      </w:r>
      <w:r w:rsidRPr="00D45020">
        <w:rPr>
          <w:rFonts w:ascii="Arial" w:hAnsi="Arial" w:cs="Arial"/>
          <w:color w:val="010000"/>
          <w:sz w:val="20"/>
        </w:rPr>
        <w:t>change</w:t>
      </w:r>
      <w:r w:rsidR="00575F04">
        <w:rPr>
          <w:rFonts w:ascii="Arial" w:hAnsi="Arial" w:cs="Arial"/>
          <w:color w:val="010000"/>
          <w:sz w:val="20"/>
        </w:rPr>
        <w:t>s</w:t>
      </w:r>
      <w:bookmarkStart w:id="0" w:name="_GoBack"/>
      <w:bookmarkEnd w:id="0"/>
      <w:r w:rsidRPr="00D45020">
        <w:rPr>
          <w:rFonts w:ascii="Arial" w:hAnsi="Arial" w:cs="Arial"/>
          <w:color w:val="010000"/>
          <w:sz w:val="20"/>
        </w:rPr>
        <w:t xml:space="preserve"> in business results </w:t>
      </w:r>
      <w:r w:rsidR="00D45020" w:rsidRPr="00D45020">
        <w:rPr>
          <w:rFonts w:ascii="Arial" w:hAnsi="Arial" w:cs="Arial"/>
          <w:color w:val="010000"/>
          <w:sz w:val="20"/>
        </w:rPr>
        <w:t xml:space="preserve">of </w:t>
      </w:r>
      <w:r w:rsidRPr="00D45020">
        <w:rPr>
          <w:rFonts w:ascii="Arial" w:hAnsi="Arial" w:cs="Arial"/>
          <w:color w:val="010000"/>
          <w:sz w:val="20"/>
        </w:rPr>
        <w:t>VND 7,519 million</w:t>
      </w:r>
    </w:p>
    <w:sectPr w:rsidR="00FD38D8" w:rsidRPr="00D45020" w:rsidSect="00E8754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400"/>
    <w:multiLevelType w:val="multilevel"/>
    <w:tmpl w:val="2AA8EAC8"/>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362A69"/>
    <w:multiLevelType w:val="multilevel"/>
    <w:tmpl w:val="8D4E8872"/>
    <w:lvl w:ilvl="0">
      <w:numFmt w:val="bullet"/>
      <w:lvlText w:val="•"/>
      <w:lvlJc w:val="left"/>
      <w:pPr>
        <w:ind w:left="720" w:hanging="360"/>
      </w:pPr>
      <w:rPr>
        <w:rFonts w:ascii="Arial" w:eastAsia="Arial" w:hAnsi="Arial" w:cs="Arial"/>
        <w:b w:val="0"/>
        <w:i w:val="0"/>
        <w:color w:val="00000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D8"/>
    <w:rsid w:val="00051632"/>
    <w:rsid w:val="001D1948"/>
    <w:rsid w:val="00363839"/>
    <w:rsid w:val="003E4A51"/>
    <w:rsid w:val="00575F04"/>
    <w:rsid w:val="0087759A"/>
    <w:rsid w:val="00A12DEC"/>
    <w:rsid w:val="00A3717E"/>
    <w:rsid w:val="00AA6829"/>
    <w:rsid w:val="00B659D5"/>
    <w:rsid w:val="00D45020"/>
    <w:rsid w:val="00E8754C"/>
    <w:rsid w:val="00FD38D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5B84E"/>
  <w15:docId w15:val="{DC9C91CC-9139-409F-BDD7-E424137A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48"/>
      <w:szCs w:val="48"/>
      <w:u w:val="none"/>
      <w:shd w:val="clear" w:color="auto" w:fill="auto"/>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sz w:val="48"/>
      <w:szCs w:val="48"/>
    </w:rPr>
  </w:style>
  <w:style w:type="paragraph" w:customStyle="1" w:styleId="Heading31">
    <w:name w:val="Heading #3"/>
    <w:basedOn w:val="Normal"/>
    <w:link w:val="Heading30"/>
    <w:pPr>
      <w:jc w:val="right"/>
      <w:outlineLvl w:val="2"/>
    </w:pPr>
    <w:rPr>
      <w:rFonts w:ascii="Arial" w:eastAsia="Arial" w:hAnsi="Arial" w:cs="Arial"/>
      <w:sz w:val="26"/>
      <w:szCs w:val="26"/>
    </w:rPr>
  </w:style>
  <w:style w:type="paragraph" w:customStyle="1" w:styleId="Heading21">
    <w:name w:val="Heading #2"/>
    <w:basedOn w:val="Normal"/>
    <w:link w:val="Heading20"/>
    <w:pPr>
      <w:spacing w:line="233" w:lineRule="auto"/>
      <w:jc w:val="center"/>
      <w:outlineLvl w:val="1"/>
    </w:pPr>
    <w:rPr>
      <w:rFonts w:ascii="Times New Roman" w:eastAsia="Times New Roman" w:hAnsi="Times New Roman" w:cs="Times New Roman"/>
      <w:sz w:val="34"/>
      <w:szCs w:val="34"/>
    </w:rPr>
  </w:style>
  <w:style w:type="paragraph" w:customStyle="1" w:styleId="Tablecaption0">
    <w:name w:val="Table caption"/>
    <w:basedOn w:val="Normal"/>
    <w:link w:val="Tablecaption"/>
    <w:rPr>
      <w:rFonts w:ascii="Times New Roman" w:eastAsia="Times New Roman" w:hAnsi="Times New Roman" w:cs="Times New Roman"/>
    </w:rPr>
  </w:style>
  <w:style w:type="paragraph" w:styleId="ListParagraph">
    <w:name w:val="List Paragraph"/>
    <w:basedOn w:val="Normal"/>
    <w:uiPriority w:val="34"/>
    <w:qFormat/>
    <w:rsid w:val="00821C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4hEcAfHzJNxvPMO1Lqo4riPbg==">CgMxLjA4AHIhMU9jYVllWWJvbzFtc043bVlDamNQTkFkQ3BVVTNucVRF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3DD960-40D9-493A-BE12-4767A53F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2024-03-18T02:57:00Z</dcterms:created>
  <dcterms:modified xsi:type="dcterms:W3CDTF">2024-03-18T02:57:00Z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f149fd15c11c68cbf4fc9776fdab49647a0c17a8232691476925f96b00ef8e72</vt:lpwstr>
  </property>
</Properties>
</file>