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FFF39" w14:textId="567F9B27" w:rsidR="008F6B17" w:rsidRPr="00EF23EB" w:rsidRDefault="00E8265E" w:rsidP="00E826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HPI: Report on progress of</w:t>
      </w:r>
      <w:r w:rsidR="00B95322" w:rsidRPr="00EF23EB">
        <w:rPr>
          <w:rFonts w:ascii="Arial" w:hAnsi="Arial" w:cs="Arial"/>
          <w:b/>
          <w:color w:val="010000"/>
          <w:sz w:val="20"/>
        </w:rPr>
        <w:t xml:space="preserve"> capital use</w:t>
      </w:r>
    </w:p>
    <w:p w14:paraId="61EF1F85" w14:textId="7BFD99D6" w:rsidR="008F6B17" w:rsidRPr="00EF23EB" w:rsidRDefault="00B95322" w:rsidP="00E826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 xml:space="preserve">On March 12, 2024, Hiep </w:t>
      </w:r>
      <w:proofErr w:type="spellStart"/>
      <w:r w:rsidRPr="00EF23EB">
        <w:rPr>
          <w:rFonts w:ascii="Arial" w:hAnsi="Arial" w:cs="Arial"/>
          <w:color w:val="010000"/>
          <w:sz w:val="20"/>
        </w:rPr>
        <w:t>Phuoc</w:t>
      </w:r>
      <w:proofErr w:type="spellEnd"/>
      <w:r w:rsidRPr="00EF23EB">
        <w:rPr>
          <w:rFonts w:ascii="Arial" w:hAnsi="Arial" w:cs="Arial"/>
          <w:color w:val="010000"/>
          <w:sz w:val="20"/>
        </w:rPr>
        <w:t xml:space="preserve"> Industrial Park Joint Stock Company announced Report on the progress of using the capital obtained from the </w:t>
      </w:r>
      <w:r w:rsidR="00E8265E">
        <w:rPr>
          <w:rFonts w:ascii="Arial" w:hAnsi="Arial" w:cs="Arial"/>
          <w:color w:val="010000"/>
          <w:sz w:val="20"/>
        </w:rPr>
        <w:t>issue</w:t>
      </w:r>
      <w:r w:rsidRPr="00EF23EB">
        <w:rPr>
          <w:rFonts w:ascii="Arial" w:hAnsi="Arial" w:cs="Arial"/>
          <w:color w:val="010000"/>
          <w:sz w:val="20"/>
        </w:rPr>
        <w:t xml:space="preserve"> of additional shares from November 27, 2016 to December 31, 2023 as follows:</w:t>
      </w:r>
    </w:p>
    <w:p w14:paraId="2D992E39" w14:textId="77777777" w:rsidR="008F6B17" w:rsidRPr="00EF23EB" w:rsidRDefault="00B95322" w:rsidP="00E8265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>Additional issued share:</w:t>
      </w:r>
    </w:p>
    <w:p w14:paraId="688F12AD" w14:textId="40C5366B" w:rsidR="008F6B17" w:rsidRPr="00EF23EB" w:rsidRDefault="00B95322" w:rsidP="00E826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 xml:space="preserve">Annual General Mandate 2016 No. 13/NQDHDCD/HIPC/16 dated June 03, 2026 of Hiep </w:t>
      </w:r>
      <w:proofErr w:type="spellStart"/>
      <w:r w:rsidRPr="00EF23EB">
        <w:rPr>
          <w:rFonts w:ascii="Arial" w:hAnsi="Arial" w:cs="Arial"/>
          <w:color w:val="010000"/>
          <w:sz w:val="20"/>
        </w:rPr>
        <w:t>Phuoc</w:t>
      </w:r>
      <w:proofErr w:type="spellEnd"/>
      <w:r w:rsidRPr="00EF23EB">
        <w:rPr>
          <w:rFonts w:ascii="Arial" w:hAnsi="Arial" w:cs="Arial"/>
          <w:color w:val="010000"/>
          <w:sz w:val="20"/>
        </w:rPr>
        <w:t xml:space="preserve"> Industrial Park Joint Stock Company (the Company) approved on the </w:t>
      </w:r>
      <w:r w:rsidR="00003302" w:rsidRPr="00EF23EB">
        <w:rPr>
          <w:rFonts w:ascii="Arial" w:hAnsi="Arial" w:cs="Arial"/>
          <w:color w:val="010000"/>
          <w:sz w:val="20"/>
        </w:rPr>
        <w:t>plan</w:t>
      </w:r>
      <w:r w:rsidRPr="00EF23EB">
        <w:rPr>
          <w:rFonts w:ascii="Arial" w:hAnsi="Arial" w:cs="Arial"/>
          <w:color w:val="010000"/>
          <w:sz w:val="20"/>
        </w:rPr>
        <w:t xml:space="preserve"> to issue additional shares to increase charter capital from VND 300,000,000,000 to VND 600,000,000,000, specifically as follows:</w:t>
      </w:r>
    </w:p>
    <w:p w14:paraId="53CC6C1C" w14:textId="08B63EB2" w:rsidR="008F6B17" w:rsidRPr="00EF23EB" w:rsidRDefault="00B95322" w:rsidP="00E82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 xml:space="preserve">Issue 10,000,000 additional shares to </w:t>
      </w:r>
      <w:r w:rsidR="00E8265E">
        <w:rPr>
          <w:rFonts w:ascii="Arial" w:hAnsi="Arial" w:cs="Arial"/>
          <w:color w:val="010000"/>
          <w:sz w:val="20"/>
        </w:rPr>
        <w:t>outstanding shareholders</w:t>
      </w:r>
      <w:r w:rsidRPr="00EF23EB">
        <w:rPr>
          <w:rFonts w:ascii="Arial" w:hAnsi="Arial" w:cs="Arial"/>
          <w:color w:val="010000"/>
          <w:sz w:val="20"/>
        </w:rPr>
        <w:t>;</w:t>
      </w:r>
    </w:p>
    <w:p w14:paraId="645C5246" w14:textId="77777777" w:rsidR="008F6B17" w:rsidRPr="00EF23EB" w:rsidRDefault="00B95322" w:rsidP="00E82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 xml:space="preserve">Private placement of 20,000,000 shares to strategic investors </w:t>
      </w:r>
    </w:p>
    <w:p w14:paraId="44CD3B0B" w14:textId="43FAAA69" w:rsidR="008F6B17" w:rsidRPr="00EF23EB" w:rsidRDefault="00B95322" w:rsidP="00E826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 xml:space="preserve">According to </w:t>
      </w:r>
      <w:r w:rsidR="00003302" w:rsidRPr="00EF23EB">
        <w:rPr>
          <w:rFonts w:ascii="Arial" w:hAnsi="Arial" w:cs="Arial"/>
          <w:color w:val="010000"/>
          <w:sz w:val="20"/>
        </w:rPr>
        <w:t xml:space="preserve">the </w:t>
      </w:r>
      <w:r w:rsidRPr="00EF23EB">
        <w:rPr>
          <w:rFonts w:ascii="Arial" w:hAnsi="Arial" w:cs="Arial"/>
          <w:color w:val="010000"/>
          <w:sz w:val="20"/>
        </w:rPr>
        <w:t>Report on the results of the public offering No. 1519/2016/BC-HIPC-HDQT dated December 22, 2016 of the Company and Official Dispatch No. 8530/UBCK-QLCB dated December 26, 20</w:t>
      </w:r>
      <w:r w:rsidR="00003302" w:rsidRPr="00EF23EB">
        <w:rPr>
          <w:rFonts w:ascii="Arial" w:hAnsi="Arial" w:cs="Arial"/>
          <w:color w:val="010000"/>
          <w:sz w:val="20"/>
        </w:rPr>
        <w:t>1</w:t>
      </w:r>
      <w:r w:rsidRPr="00EF23EB">
        <w:rPr>
          <w:rFonts w:ascii="Arial" w:hAnsi="Arial" w:cs="Arial"/>
          <w:color w:val="010000"/>
          <w:sz w:val="20"/>
        </w:rPr>
        <w:t xml:space="preserve">6 of State Securities Commission on confirming the report on the results of additional shares </w:t>
      </w:r>
      <w:r w:rsidR="00E8265E">
        <w:rPr>
          <w:rFonts w:ascii="Arial" w:hAnsi="Arial" w:cs="Arial"/>
          <w:color w:val="010000"/>
          <w:sz w:val="20"/>
        </w:rPr>
        <w:t>issue</w:t>
      </w:r>
      <w:r w:rsidRPr="00EF23EB">
        <w:rPr>
          <w:rFonts w:ascii="Arial" w:hAnsi="Arial" w:cs="Arial"/>
          <w:color w:val="010000"/>
          <w:sz w:val="20"/>
        </w:rPr>
        <w:t xml:space="preserve"> of the Company, the results from the </w:t>
      </w:r>
      <w:r w:rsidR="00E8265E">
        <w:rPr>
          <w:rFonts w:ascii="Arial" w:hAnsi="Arial" w:cs="Arial"/>
          <w:color w:val="010000"/>
          <w:sz w:val="20"/>
        </w:rPr>
        <w:t>issue</w:t>
      </w:r>
      <w:r w:rsidRPr="00EF23EB">
        <w:rPr>
          <w:rFonts w:ascii="Arial" w:hAnsi="Arial" w:cs="Arial"/>
          <w:color w:val="010000"/>
          <w:sz w:val="20"/>
        </w:rPr>
        <w:t xml:space="preserve"> are as follow: </w:t>
      </w:r>
    </w:p>
    <w:p w14:paraId="105EF941" w14:textId="7845A4AD" w:rsidR="008F6B17" w:rsidRPr="00EF23EB" w:rsidRDefault="00B95322" w:rsidP="00E82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 xml:space="preserve">Issue shares to </w:t>
      </w:r>
      <w:r w:rsidR="00E8265E">
        <w:rPr>
          <w:rFonts w:ascii="Arial" w:hAnsi="Arial" w:cs="Arial"/>
          <w:color w:val="010000"/>
          <w:sz w:val="20"/>
        </w:rPr>
        <w:t>outstanding shareholders</w:t>
      </w:r>
      <w:r w:rsidRPr="00EF23EB">
        <w:rPr>
          <w:rFonts w:ascii="Arial" w:hAnsi="Arial" w:cs="Arial"/>
          <w:color w:val="010000"/>
          <w:sz w:val="20"/>
        </w:rPr>
        <w:t>: Issue</w:t>
      </w:r>
      <w:r w:rsidR="00EF23EB" w:rsidRPr="00EF23EB">
        <w:rPr>
          <w:rFonts w:ascii="Arial" w:hAnsi="Arial" w:cs="Arial"/>
          <w:color w:val="010000"/>
          <w:sz w:val="20"/>
        </w:rPr>
        <w:t>d</w:t>
      </w:r>
      <w:r w:rsidRPr="00EF23EB">
        <w:rPr>
          <w:rFonts w:ascii="Arial" w:hAnsi="Arial" w:cs="Arial"/>
          <w:color w:val="010000"/>
          <w:sz w:val="20"/>
        </w:rPr>
        <w:t xml:space="preserve"> 10,000,000 shares at par value of VND 10,000 per share</w:t>
      </w:r>
    </w:p>
    <w:p w14:paraId="268CE771" w14:textId="26C6BE86" w:rsidR="008F6B17" w:rsidRPr="00EF23EB" w:rsidRDefault="00B95322" w:rsidP="00E82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>Private placement (for strategic investors): Issue</w:t>
      </w:r>
      <w:r w:rsidR="00EF23EB" w:rsidRPr="00EF23EB">
        <w:rPr>
          <w:rFonts w:ascii="Arial" w:hAnsi="Arial" w:cs="Arial"/>
          <w:color w:val="010000"/>
          <w:sz w:val="20"/>
        </w:rPr>
        <w:t>d</w:t>
      </w:r>
      <w:r w:rsidRPr="00EF23EB">
        <w:rPr>
          <w:rFonts w:ascii="Arial" w:hAnsi="Arial" w:cs="Arial"/>
          <w:color w:val="010000"/>
          <w:sz w:val="20"/>
        </w:rPr>
        <w:t xml:space="preserve"> 20,000,000 shares at par value of VND 15,000 per share</w:t>
      </w:r>
    </w:p>
    <w:p w14:paraId="06978FB4" w14:textId="7726DA2C" w:rsidR="008F6B17" w:rsidRPr="00EF23EB" w:rsidRDefault="00B95322" w:rsidP="00E826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 xml:space="preserve">The total amount of money obtained from this </w:t>
      </w:r>
      <w:r w:rsidR="00E8265E">
        <w:rPr>
          <w:rFonts w:ascii="Arial" w:hAnsi="Arial" w:cs="Arial"/>
          <w:color w:val="010000"/>
          <w:sz w:val="20"/>
        </w:rPr>
        <w:t>issue</w:t>
      </w:r>
      <w:r w:rsidRPr="00EF23EB">
        <w:rPr>
          <w:rFonts w:ascii="Arial" w:hAnsi="Arial" w:cs="Arial"/>
          <w:color w:val="010000"/>
          <w:sz w:val="20"/>
        </w:rPr>
        <w:t xml:space="preserve"> is VND 400,000,000,000</w:t>
      </w:r>
    </w:p>
    <w:p w14:paraId="7F70A1F6" w14:textId="3DB3CAFD" w:rsidR="008F6B17" w:rsidRPr="00EF23EB" w:rsidRDefault="00B95322" w:rsidP="00E8265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 xml:space="preserve">Plan on using the money mobilized from the </w:t>
      </w:r>
      <w:r w:rsidR="00E8265E">
        <w:rPr>
          <w:rFonts w:ascii="Arial" w:hAnsi="Arial" w:cs="Arial"/>
          <w:color w:val="010000"/>
          <w:sz w:val="20"/>
        </w:rPr>
        <w:t>issue</w:t>
      </w:r>
    </w:p>
    <w:p w14:paraId="1F0255B4" w14:textId="67CFBFD4" w:rsidR="008F6B17" w:rsidRPr="00EF23EB" w:rsidRDefault="00B95322" w:rsidP="00E826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 xml:space="preserve">According to Board Resolution No. 25/NQ-HDQT/HIPC.16 dated July 22, 2026, the details of the plan on using the capital from the </w:t>
      </w:r>
      <w:r w:rsidR="00E8265E">
        <w:rPr>
          <w:rFonts w:ascii="Arial" w:hAnsi="Arial" w:cs="Arial"/>
          <w:color w:val="010000"/>
          <w:sz w:val="20"/>
        </w:rPr>
        <w:t>issue</w:t>
      </w:r>
      <w:r w:rsidRPr="00EF23EB">
        <w:rPr>
          <w:rFonts w:ascii="Arial" w:hAnsi="Arial" w:cs="Arial"/>
          <w:color w:val="010000"/>
          <w:sz w:val="20"/>
        </w:rPr>
        <w:t xml:space="preserve"> are: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9"/>
        <w:gridCol w:w="5024"/>
        <w:gridCol w:w="2954"/>
      </w:tblGrid>
      <w:tr w:rsidR="008F6B17" w:rsidRPr="00EF23EB" w14:paraId="06B2EF51" w14:textId="77777777" w:rsidTr="00B95322">
        <w:tc>
          <w:tcPr>
            <w:tcW w:w="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8D45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505B" w14:textId="42BA5DAB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Items: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870E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8F6B17" w:rsidRPr="00EF23EB" w14:paraId="7C3BEB3B" w14:textId="77777777" w:rsidTr="00B95322">
        <w:tc>
          <w:tcPr>
            <w:tcW w:w="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B7FE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3C47" w14:textId="70628CA9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 xml:space="preserve">Plan on using the capital obtained from the offering to </w:t>
            </w:r>
            <w:r w:rsidR="00E8265E">
              <w:rPr>
                <w:rFonts w:ascii="Arial" w:hAnsi="Arial" w:cs="Arial"/>
                <w:color w:val="010000"/>
                <w:sz w:val="20"/>
              </w:rPr>
              <w:t>outstanding shareholders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41B1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</w:tr>
      <w:tr w:rsidR="008F6B17" w:rsidRPr="00EF23EB" w14:paraId="04C4CDCB" w14:textId="77777777" w:rsidTr="00B95322">
        <w:tc>
          <w:tcPr>
            <w:tcW w:w="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1EA9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0658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Expenses for regular activities of the Company (salary, electricity, water, chemical, etc.)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4CB6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</w:tr>
      <w:tr w:rsidR="008F6B17" w:rsidRPr="00EF23EB" w14:paraId="47398E8A" w14:textId="77777777" w:rsidTr="00B95322">
        <w:tc>
          <w:tcPr>
            <w:tcW w:w="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98E6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7337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Expenses for receiving land transfer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DFA5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60,000,000,000</w:t>
            </w:r>
          </w:p>
        </w:tc>
      </w:tr>
      <w:tr w:rsidR="008F6B17" w:rsidRPr="00EF23EB" w14:paraId="15E65564" w14:textId="77777777" w:rsidTr="00B95322">
        <w:tc>
          <w:tcPr>
            <w:tcW w:w="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168F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17EF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Expenses for building infrastructure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F733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</w:tr>
      <w:tr w:rsidR="008F6B17" w:rsidRPr="00EF23EB" w14:paraId="7F64EAA5" w14:textId="77777777" w:rsidTr="00B95322">
        <w:tc>
          <w:tcPr>
            <w:tcW w:w="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AC87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90A8" w14:textId="02A83F11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Plan on using the money obtained from strategic partners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602A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</w:tr>
      <w:tr w:rsidR="008F6B17" w:rsidRPr="00EF23EB" w14:paraId="18F7F7BF" w14:textId="77777777" w:rsidTr="00B95322">
        <w:tc>
          <w:tcPr>
            <w:tcW w:w="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AF68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FF2D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Expenses for receiving land transfer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2563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240,000,000,000</w:t>
            </w:r>
          </w:p>
        </w:tc>
      </w:tr>
      <w:tr w:rsidR="008F6B17" w:rsidRPr="00EF23EB" w14:paraId="788FD289" w14:textId="77777777" w:rsidTr="00B95322">
        <w:tc>
          <w:tcPr>
            <w:tcW w:w="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1760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B889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Expenses for building infrastructure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2095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60,000,000,000</w:t>
            </w:r>
          </w:p>
        </w:tc>
      </w:tr>
      <w:tr w:rsidR="008F6B17" w:rsidRPr="00EF23EB" w14:paraId="6733F9B7" w14:textId="77777777" w:rsidTr="00B95322">
        <w:tc>
          <w:tcPr>
            <w:tcW w:w="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CCE1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lastRenderedPageBreak/>
              <w:t>III</w:t>
            </w:r>
          </w:p>
        </w:tc>
        <w:tc>
          <w:tcPr>
            <w:tcW w:w="27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97FF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FDAF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</w:tr>
    </w:tbl>
    <w:p w14:paraId="4FFFC4D6" w14:textId="73140509" w:rsidR="008F6B17" w:rsidRPr="00EF23EB" w:rsidRDefault="00B95322" w:rsidP="00E8265E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23EB">
        <w:rPr>
          <w:rFonts w:ascii="Arial" w:hAnsi="Arial" w:cs="Arial"/>
          <w:color w:val="010000"/>
          <w:sz w:val="20"/>
        </w:rPr>
        <w:t>Accumulate</w:t>
      </w:r>
      <w:r w:rsidR="00EF23EB" w:rsidRPr="00EF23EB">
        <w:rPr>
          <w:rFonts w:ascii="Arial" w:hAnsi="Arial" w:cs="Arial"/>
          <w:color w:val="010000"/>
          <w:sz w:val="20"/>
        </w:rPr>
        <w:t>d</w:t>
      </w:r>
      <w:r w:rsidRPr="00EF23EB">
        <w:rPr>
          <w:rFonts w:ascii="Arial" w:hAnsi="Arial" w:cs="Arial"/>
          <w:color w:val="010000"/>
          <w:sz w:val="20"/>
        </w:rPr>
        <w:t xml:space="preserve"> until Decemb</w:t>
      </w:r>
      <w:r w:rsidR="00E8265E">
        <w:rPr>
          <w:rFonts w:ascii="Arial" w:hAnsi="Arial" w:cs="Arial"/>
          <w:color w:val="010000"/>
          <w:sz w:val="20"/>
        </w:rPr>
        <w:t>er 31, 2023, the Company has distributed</w:t>
      </w:r>
      <w:bookmarkStart w:id="0" w:name="_GoBack"/>
      <w:bookmarkEnd w:id="0"/>
      <w:r w:rsidR="00E8265E">
        <w:rPr>
          <w:rFonts w:ascii="Arial" w:hAnsi="Arial" w:cs="Arial"/>
          <w:color w:val="010000"/>
          <w:sz w:val="20"/>
        </w:rPr>
        <w:t xml:space="preserve"> the capital obtained from the issue</w:t>
      </w:r>
      <w:r w:rsidRPr="00EF23EB">
        <w:rPr>
          <w:rFonts w:ascii="Arial" w:hAnsi="Arial" w:cs="Arial"/>
          <w:color w:val="010000"/>
          <w:sz w:val="20"/>
        </w:rPr>
        <w:t xml:space="preserve">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12"/>
        <w:gridCol w:w="2213"/>
        <w:gridCol w:w="1733"/>
        <w:gridCol w:w="2159"/>
      </w:tblGrid>
      <w:tr w:rsidR="008F6B17" w:rsidRPr="00EF23EB" w14:paraId="2784C365" w14:textId="77777777" w:rsidTr="00EF23EB">
        <w:tc>
          <w:tcPr>
            <w:tcW w:w="16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1A0A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Items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B260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For the accounting period from November 07, 2016 to December 31, 2022.</w:t>
            </w:r>
          </w:p>
          <w:p w14:paraId="0FF5BDF5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1281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In the financial year ended on December 31, 2023</w:t>
            </w:r>
          </w:p>
          <w:p w14:paraId="4923C909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46DE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For the accounting period from November 07, 2016 to December 31, 2023.</w:t>
            </w:r>
          </w:p>
          <w:p w14:paraId="5C7FA25D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  <w:tr w:rsidR="008F6B17" w:rsidRPr="00EF23EB" w14:paraId="1B6FC077" w14:textId="77777777" w:rsidTr="00EF23EB">
        <w:tc>
          <w:tcPr>
            <w:tcW w:w="16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CBF7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Expenses for regular activities of the Company (salary, electricity, water, chemical, etc.)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8724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43B4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F8C6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</w:tr>
      <w:tr w:rsidR="008F6B17" w:rsidRPr="00EF23EB" w14:paraId="7AA860CD" w14:textId="77777777" w:rsidTr="00EF23EB">
        <w:tc>
          <w:tcPr>
            <w:tcW w:w="16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4483" w14:textId="093C7EB8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 xml:space="preserve">Expenses </w:t>
            </w:r>
            <w:r w:rsidR="00E8265E">
              <w:rPr>
                <w:rFonts w:ascii="Arial" w:hAnsi="Arial" w:cs="Arial"/>
                <w:color w:val="010000"/>
                <w:sz w:val="20"/>
              </w:rPr>
              <w:t>for receipt of</w:t>
            </w:r>
            <w:r w:rsidRPr="00EF23EB">
              <w:rPr>
                <w:rFonts w:ascii="Arial" w:hAnsi="Arial" w:cs="Arial"/>
                <w:color w:val="010000"/>
                <w:sz w:val="20"/>
              </w:rPr>
              <w:t xml:space="preserve"> land transfer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20AB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239,851,799,999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1A1D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10,627,243,332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83C9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250,479,043,331</w:t>
            </w:r>
          </w:p>
        </w:tc>
      </w:tr>
      <w:tr w:rsidR="008F6B17" w:rsidRPr="00EF23EB" w14:paraId="445332D6" w14:textId="77777777" w:rsidTr="00EF23EB">
        <w:tc>
          <w:tcPr>
            <w:tcW w:w="16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8DD0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Expenses for building infrastructure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296C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70,000,000,000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EB4D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C55C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70,000,000,000</w:t>
            </w:r>
          </w:p>
        </w:tc>
      </w:tr>
      <w:tr w:rsidR="008F6B17" w:rsidRPr="00EF23EB" w14:paraId="61B793CF" w14:textId="77777777" w:rsidTr="00EF23EB">
        <w:tc>
          <w:tcPr>
            <w:tcW w:w="16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2278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308F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339,851,799,999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A50F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10,627,243,332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F263" w14:textId="77777777" w:rsidR="008F6B17" w:rsidRPr="00EF23EB" w:rsidRDefault="00B95322" w:rsidP="00E8265E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23EB">
              <w:rPr>
                <w:rFonts w:ascii="Arial" w:hAnsi="Arial" w:cs="Arial"/>
                <w:color w:val="010000"/>
                <w:sz w:val="20"/>
              </w:rPr>
              <w:t>350,479,043,331</w:t>
            </w:r>
          </w:p>
        </w:tc>
      </w:tr>
    </w:tbl>
    <w:p w14:paraId="5AAE4FDA" w14:textId="77777777" w:rsidR="008F6B17" w:rsidRPr="00EF23EB" w:rsidRDefault="008F6B17" w:rsidP="00E8265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8F6B17" w:rsidRPr="00EF23EB" w:rsidSect="00B9532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6D3"/>
    <w:multiLevelType w:val="multilevel"/>
    <w:tmpl w:val="B7E68A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A35F42"/>
    <w:multiLevelType w:val="multilevel"/>
    <w:tmpl w:val="62025F2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7"/>
    <w:rsid w:val="00003302"/>
    <w:rsid w:val="008F6B17"/>
    <w:rsid w:val="00B95322"/>
    <w:rsid w:val="00E8265E"/>
    <w:rsid w:val="00E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01687"/>
  <w15:docId w15:val="{DC9C91CC-9139-409F-BDD7-E424137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2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sz w:val="19"/>
      <w:szCs w:val="19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31">
    <w:name w:val="Heading #3"/>
    <w:basedOn w:val="Normal"/>
    <w:link w:val="Heading30"/>
    <w:pPr>
      <w:ind w:left="74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">
    <w:name w:val="Heading #2"/>
    <w:basedOn w:val="Normal"/>
    <w:link w:val="Heading20"/>
    <w:pPr>
      <w:spacing w:line="264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2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1HYcRRM/cY4V2Kx8sXHLLvPEzg==">CgMxLjA4AHIhMVdrNHFXUGt6bm9NZFlyUTRxQVdUdGlzNmNiclFvVUJn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2024-03-18T03:15:00Z</dcterms:created>
  <dcterms:modified xsi:type="dcterms:W3CDTF">2024-03-18T03:15:00Z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b546f7f15c1dded0c1be2e14bed39c0567a60703f38ba71d3064585ac2b3765d</vt:lpwstr>
  </property>
</Properties>
</file>