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362364">
        <w:rPr>
          <w:rFonts w:ascii="Arial" w:hAnsi="Arial" w:cs="Arial"/>
          <w:b/>
          <w:color w:val="010000"/>
          <w:sz w:val="20"/>
        </w:rPr>
        <w:t>BST: Board Resolution</w:t>
      </w:r>
    </w:p>
    <w:p w14:paraId="00000002" w14:textId="77777777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>On March 11, 2024, Binh Thuan Book and Equipment JSC announced Resolution No. 17/NQ-HDQT-2024 as follows:</w:t>
      </w:r>
    </w:p>
    <w:p w14:paraId="00000003" w14:textId="1333A1D4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>Article I: Business results of 2023.</w:t>
      </w:r>
    </w:p>
    <w:p w14:paraId="00000004" w14:textId="5182C402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162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Revenue</w:t>
      </w:r>
      <w:r w:rsidRPr="00362364">
        <w:rPr>
          <w:rFonts w:ascii="Arial" w:hAnsi="Arial" w:cs="Arial"/>
          <w:color w:val="010000"/>
          <w:sz w:val="20"/>
        </w:rPr>
        <w:t>:</w:t>
      </w:r>
      <w:r w:rsidR="000369F3" w:rsidRPr="00362364">
        <w:rPr>
          <w:rFonts w:ascii="Arial" w:hAnsi="Arial" w:cs="Arial"/>
          <w:color w:val="010000"/>
          <w:sz w:val="20"/>
        </w:rPr>
        <w:t xml:space="preserve"> VND 100,278,142,019</w:t>
      </w:r>
    </w:p>
    <w:p w14:paraId="00000005" w14:textId="30389970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Profit before tax: VND 2,810,014,848</w:t>
      </w:r>
    </w:p>
    <w:p w14:paraId="00000006" w14:textId="244B0AC4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Profit after tax: VND 2,226,318,785</w:t>
      </w:r>
    </w:p>
    <w:p w14:paraId="00000007" w14:textId="13FAE24A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Dividend of 13%: VND 1,430,000,000</w:t>
      </w:r>
    </w:p>
    <w:p w14:paraId="00000008" w14:textId="47630EE0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(In which, dividend payment in </w:t>
      </w:r>
      <w:r w:rsidR="00362364" w:rsidRPr="00362364">
        <w:rPr>
          <w:rFonts w:ascii="Arial" w:hAnsi="Arial" w:cs="Arial"/>
          <w:color w:val="010000"/>
          <w:sz w:val="20"/>
        </w:rPr>
        <w:t xml:space="preserve">round 2 of </w:t>
      </w:r>
      <w:r w:rsidRPr="00362364">
        <w:rPr>
          <w:rFonts w:ascii="Arial" w:hAnsi="Arial" w:cs="Arial"/>
          <w:color w:val="010000"/>
          <w:sz w:val="20"/>
        </w:rPr>
        <w:t>2022 was 1%; Prepayment in 2023 was 12%)</w:t>
      </w:r>
    </w:p>
    <w:p w14:paraId="00000009" w14:textId="04818D37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Remuneration of the Board of Directors and the Supervisory Board: VND 195,300,000 (7% of Profit before tax)</w:t>
      </w:r>
    </w:p>
    <w:p w14:paraId="0000000A" w14:textId="6E6AA685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Salary fund: VND 6,406,726,573 (VND 2,291.7/VND 1000 of profit)</w:t>
      </w:r>
    </w:p>
    <w:p w14:paraId="0000000B" w14:textId="77777777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>Article II: Distribution of profit after tax in 2023.</w:t>
      </w:r>
    </w:p>
    <w:p w14:paraId="0000000C" w14:textId="1F54277C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Business Development Fund: VND 111,315,939 (5% of profit after tax).</w:t>
      </w:r>
    </w:p>
    <w:p w14:paraId="0000000D" w14:textId="6CB85119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 xml:space="preserve">The Executive Board’s fund: VND 111,315,939 (5% of profit after tax). </w:t>
      </w:r>
    </w:p>
    <w:p w14:paraId="0000000E" w14:textId="4CA6F748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Bonus fund for employees: VND 133,579,127 (6% of profit after tax).</w:t>
      </w:r>
    </w:p>
    <w:p w14:paraId="0000000F" w14:textId="339055BD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Welfare fund: VND 155,842,315 (7% of profit after tax).</w:t>
      </w:r>
    </w:p>
    <w:p w14:paraId="00000010" w14:textId="19DF7360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>Article 3: Financial Business Plan in 2024.</w:t>
      </w:r>
    </w:p>
    <w:p w14:paraId="00000011" w14:textId="279FCD5A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462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Revenue</w:t>
      </w:r>
      <w:r w:rsidRPr="00362364">
        <w:rPr>
          <w:rFonts w:ascii="Arial" w:hAnsi="Arial" w:cs="Arial"/>
          <w:color w:val="010000"/>
          <w:sz w:val="20"/>
        </w:rPr>
        <w:t>:</w:t>
      </w:r>
      <w:r w:rsidR="000369F3" w:rsidRPr="00362364">
        <w:rPr>
          <w:rFonts w:ascii="Arial" w:hAnsi="Arial" w:cs="Arial"/>
          <w:color w:val="010000"/>
          <w:sz w:val="20"/>
        </w:rPr>
        <w:t xml:space="preserve"> VND 93,000,000,000</w:t>
      </w:r>
    </w:p>
    <w:p w14:paraId="00000012" w14:textId="38E3D34E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Profit before tax: VND 2,100,000,000</w:t>
      </w:r>
    </w:p>
    <w:p w14:paraId="00000013" w14:textId="5F0800B6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Dividend of 10%: VND 1,100,000,000</w:t>
      </w:r>
    </w:p>
    <w:p w14:paraId="00000014" w14:textId="764FE183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Remuneration of the Board of Directors and the Supervisory Board: 7% of Profit before tax.</w:t>
      </w:r>
    </w:p>
    <w:p w14:paraId="00000015" w14:textId="0A926591" w:rsidR="00E42425" w:rsidRPr="00362364" w:rsidRDefault="006601CE" w:rsidP="008D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 xml:space="preserve"> </w:t>
      </w:r>
      <w:r w:rsidR="000369F3" w:rsidRPr="00362364">
        <w:rPr>
          <w:rFonts w:ascii="Arial" w:hAnsi="Arial" w:cs="Arial"/>
          <w:color w:val="010000"/>
          <w:sz w:val="20"/>
        </w:rPr>
        <w:t>Salary unit price: VND 2,394.8/VND 1000 of Profit before tax including salary expenses.</w:t>
      </w:r>
    </w:p>
    <w:p w14:paraId="00000016" w14:textId="72BA6C09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>Article IV: Approve the internal regulations on corporate governance at the Annual General Meeting of Shareholders 2024.</w:t>
      </w:r>
    </w:p>
    <w:p w14:paraId="00000017" w14:textId="74CF776C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>Article V: Prepare for the Annual General Meeting of Shareholders 2024.</w:t>
      </w:r>
    </w:p>
    <w:p w14:paraId="00000018" w14:textId="4EC9F415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>Date: April 09, 2024. Venue:</w:t>
      </w:r>
      <w:r w:rsidR="006601CE" w:rsidRPr="00362364">
        <w:rPr>
          <w:rFonts w:ascii="Arial" w:hAnsi="Arial" w:cs="Arial"/>
          <w:color w:val="010000"/>
          <w:sz w:val="20"/>
        </w:rPr>
        <w:t xml:space="preserve"> </w:t>
      </w:r>
      <w:r w:rsidRPr="00362364">
        <w:rPr>
          <w:rFonts w:ascii="Arial" w:hAnsi="Arial" w:cs="Arial"/>
          <w:color w:val="010000"/>
          <w:sz w:val="20"/>
        </w:rPr>
        <w:t xml:space="preserve">Binh Minh Hotel, No. 221 Le Loi, Phan Thiet City. </w:t>
      </w:r>
    </w:p>
    <w:p w14:paraId="00000019" w14:textId="77777777" w:rsidR="00E42425" w:rsidRPr="00362364" w:rsidRDefault="000369F3" w:rsidP="008D7F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2364">
        <w:rPr>
          <w:rFonts w:ascii="Arial" w:hAnsi="Arial" w:cs="Arial"/>
          <w:color w:val="010000"/>
          <w:sz w:val="20"/>
        </w:rPr>
        <w:t>Article VI: Members of the Board of Directors and the Manager of Binh Thuan Book and Equipment JSC are responsible for the implementation of this Resolution.</w:t>
      </w:r>
      <w:bookmarkEnd w:id="0"/>
    </w:p>
    <w:sectPr w:rsidR="00E42425" w:rsidRPr="00362364" w:rsidSect="006601C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5CD9"/>
    <w:multiLevelType w:val="multilevel"/>
    <w:tmpl w:val="FE5E29BA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25"/>
    <w:rsid w:val="000369F3"/>
    <w:rsid w:val="00362364"/>
    <w:rsid w:val="006601CE"/>
    <w:rsid w:val="008D7F03"/>
    <w:rsid w:val="00E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A9AA9"/>
  <w15:docId w15:val="{F2E132C1-291F-4B51-8990-9BEA0C2C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E2C38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color w:val="A2202F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A2202F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b/>
      <w:bCs/>
      <w:color w:val="0E2C38"/>
      <w:sz w:val="22"/>
      <w:szCs w:val="22"/>
    </w:rPr>
  </w:style>
  <w:style w:type="paragraph" w:customStyle="1" w:styleId="Bodytext50">
    <w:name w:val="Body text (5)"/>
    <w:basedOn w:val="Normal"/>
    <w:link w:val="Bodytext5"/>
    <w:pPr>
      <w:ind w:left="550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b/>
      <w:bCs/>
      <w:color w:val="A2202F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Arial" w:eastAsia="Arial" w:hAnsi="Arial" w:cs="Arial"/>
      <w:color w:val="A2202F"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/TmtOIPLQUs9N8/++6vcWWrmA==">CgMxLjA4AHIhMVBqU2NsQ2gtNWgwb1lEQmpFS21zVEVvU05XeVpneHBF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2024-03-18T03:32:00Z</dcterms:created>
  <dcterms:modified xsi:type="dcterms:W3CDTF">2024-03-19T03:23:00Z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31a7a58e9c5616ed1843407d8dcf1112e17c9d612fd7634f1ee2a5016573d946</vt:lpwstr>
  </property>
</Properties>
</file>