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A88E71" w:rsidR="00D73B59" w:rsidRPr="0015157E" w:rsidRDefault="00FE5ACC" w:rsidP="00FE5ACC">
      <w:pPr>
        <w:pBdr>
          <w:top w:val="nil"/>
          <w:left w:val="nil"/>
          <w:bottom w:val="nil"/>
          <w:right w:val="nil"/>
          <w:between w:val="nil"/>
        </w:pBdr>
        <w:tabs>
          <w:tab w:val="left" w:pos="49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5157E">
        <w:rPr>
          <w:rFonts w:ascii="Arial" w:hAnsi="Arial" w:cs="Arial"/>
          <w:b/>
          <w:bCs/>
          <w:color w:val="010000"/>
          <w:sz w:val="20"/>
        </w:rPr>
        <w:t>CII121006:</w:t>
      </w:r>
      <w:r w:rsidRPr="0015157E">
        <w:rPr>
          <w:rFonts w:ascii="Arial" w:hAnsi="Arial" w:cs="Arial"/>
          <w:b/>
          <w:color w:val="010000"/>
          <w:sz w:val="20"/>
        </w:rPr>
        <w:t xml:space="preserve"> Notice on the Record Date to Exercise the Right to Pay interest for Period 12</w:t>
      </w:r>
    </w:p>
    <w:p w14:paraId="00000002" w14:textId="77777777" w:rsidR="00D73B59" w:rsidRPr="0015157E" w:rsidRDefault="00FE5ACC" w:rsidP="00FE5ACC">
      <w:pPr>
        <w:pBdr>
          <w:top w:val="nil"/>
          <w:left w:val="nil"/>
          <w:bottom w:val="nil"/>
          <w:right w:val="nil"/>
          <w:between w:val="nil"/>
        </w:pBdr>
        <w:tabs>
          <w:tab w:val="left" w:pos="49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On March 18, 2024, Ho Chi Minh City Infrastructure Investment Joint Stock Company announced Notice No. 215/2024/CV-CII on the record date to exercise the right to pay interest for Period 12 and bond principal of securities code CII121006 as follows:</w:t>
      </w:r>
    </w:p>
    <w:p w14:paraId="00000003" w14:textId="64FCE2D1" w:rsidR="00D73B59" w:rsidRPr="00F03B4F" w:rsidRDefault="00FE5ACC" w:rsidP="00F03B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B4F">
        <w:rPr>
          <w:rFonts w:ascii="Arial" w:hAnsi="Arial" w:cs="Arial"/>
          <w:color w:val="010000"/>
          <w:sz w:val="20"/>
        </w:rPr>
        <w:t>Securities name: CIIB2124001</w:t>
      </w:r>
      <w:r w:rsidR="0015157E" w:rsidRPr="00F03B4F">
        <w:rPr>
          <w:rFonts w:ascii="Arial" w:hAnsi="Arial" w:cs="Arial"/>
          <w:color w:val="010000"/>
          <w:sz w:val="20"/>
        </w:rPr>
        <w:t xml:space="preserve"> Bond</w:t>
      </w:r>
    </w:p>
    <w:p w14:paraId="00000004" w14:textId="77777777" w:rsidR="00D73B59" w:rsidRPr="00F03B4F" w:rsidRDefault="00FE5ACC" w:rsidP="00F03B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B4F">
        <w:rPr>
          <w:rFonts w:ascii="Arial" w:hAnsi="Arial" w:cs="Arial"/>
          <w:color w:val="010000"/>
          <w:sz w:val="20"/>
        </w:rPr>
        <w:t>Securities code: CII121006</w:t>
      </w:r>
    </w:p>
    <w:p w14:paraId="00000005" w14:textId="77777777" w:rsidR="00D73B59" w:rsidRPr="00F03B4F" w:rsidRDefault="00FE5ACC" w:rsidP="00F03B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B4F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D73B59" w:rsidRPr="00F03B4F" w:rsidRDefault="00FE5ACC" w:rsidP="00F03B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B4F">
        <w:rPr>
          <w:rFonts w:ascii="Arial" w:hAnsi="Arial" w:cs="Arial"/>
          <w:color w:val="010000"/>
          <w:sz w:val="20"/>
        </w:rPr>
        <w:t>Transaction par value: VND 10</w:t>
      </w:r>
      <w:bookmarkStart w:id="1" w:name="_GoBack"/>
      <w:bookmarkEnd w:id="1"/>
      <w:r w:rsidRPr="00F03B4F">
        <w:rPr>
          <w:rFonts w:ascii="Arial" w:hAnsi="Arial" w:cs="Arial"/>
          <w:color w:val="010000"/>
          <w:sz w:val="20"/>
        </w:rPr>
        <w:t>0,000</w:t>
      </w:r>
    </w:p>
    <w:p w14:paraId="00000007" w14:textId="77777777" w:rsidR="00D73B59" w:rsidRPr="00F03B4F" w:rsidRDefault="00FE5ACC" w:rsidP="00F03B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B4F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D73B59" w:rsidRPr="00F03B4F" w:rsidRDefault="00FE5ACC" w:rsidP="00F03B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03B4F">
        <w:rPr>
          <w:rFonts w:ascii="Arial" w:hAnsi="Arial" w:cs="Arial"/>
          <w:color w:val="010000"/>
          <w:sz w:val="20"/>
        </w:rPr>
        <w:t>Record date: April 1, 2024</w:t>
      </w:r>
    </w:p>
    <w:p w14:paraId="00000009" w14:textId="77777777" w:rsidR="00D73B59" w:rsidRPr="0015157E" w:rsidRDefault="00FE5ACC" w:rsidP="00FE5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Reason and purpose</w:t>
      </w:r>
    </w:p>
    <w:p w14:paraId="0000000A" w14:textId="77777777" w:rsidR="00D73B59" w:rsidRPr="0015157E" w:rsidRDefault="00FE5ACC" w:rsidP="00FE5A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Payment of interest for period 12 (from and including January 13, 2024 to and excluding April 15, 2024) and bond principal.</w:t>
      </w:r>
    </w:p>
    <w:p w14:paraId="0000000B" w14:textId="77777777" w:rsidR="00D73B59" w:rsidRPr="0015157E" w:rsidRDefault="00FE5ACC" w:rsidP="00FE5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Specific content</w:t>
      </w:r>
    </w:p>
    <w:p w14:paraId="0000000C" w14:textId="77777777" w:rsidR="00D73B59" w:rsidRPr="0015157E" w:rsidRDefault="00FE5ACC" w:rsidP="00FE5A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Payment of interest and principal of corporate bonds in cash:</w:t>
      </w:r>
    </w:p>
    <w:p w14:paraId="0000000D" w14:textId="77777777" w:rsidR="00D73B59" w:rsidRPr="0015157E" w:rsidRDefault="00FE5ACC" w:rsidP="00FE5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Interest rate: 9.295% per year;</w:t>
      </w:r>
    </w:p>
    <w:p w14:paraId="0000000E" w14:textId="77777777" w:rsidR="00D73B59" w:rsidRPr="0015157E" w:rsidRDefault="00FE5ACC" w:rsidP="00FE5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Exercise rate:</w:t>
      </w:r>
    </w:p>
    <w:p w14:paraId="0000000F" w14:textId="2BB4E918" w:rsidR="00D73B59" w:rsidRPr="0015157E" w:rsidRDefault="0015157E" w:rsidP="00FE5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Bondholders</w:t>
      </w:r>
      <w:r w:rsidR="00FE5ACC" w:rsidRPr="0015157E">
        <w:rPr>
          <w:rFonts w:ascii="Arial" w:hAnsi="Arial" w:cs="Arial"/>
          <w:color w:val="010000"/>
          <w:sz w:val="20"/>
        </w:rPr>
        <w:t xml:space="preserve"> receive VND 102,368</w:t>
      </w:r>
      <w:r w:rsidRPr="0015157E">
        <w:rPr>
          <w:rFonts w:ascii="Arial" w:hAnsi="Arial" w:cs="Arial"/>
          <w:color w:val="010000"/>
          <w:sz w:val="20"/>
        </w:rPr>
        <w:t>.</w:t>
      </w:r>
      <w:r w:rsidR="00FE5ACC" w:rsidRPr="0015157E">
        <w:rPr>
          <w:rFonts w:ascii="Arial" w:hAnsi="Arial" w:cs="Arial"/>
          <w:color w:val="010000"/>
          <w:sz w:val="20"/>
        </w:rPr>
        <w:t>315 for each bond. In which:</w:t>
      </w:r>
    </w:p>
    <w:p w14:paraId="00000010" w14:textId="565F0845" w:rsidR="00D73B59" w:rsidRPr="0015157E" w:rsidRDefault="00FE5ACC" w:rsidP="00FE5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The interest is calculated by the formula of VND 100,000 x 9.295% x 93 (days)/365 (days), rounded to three decimal places.</w:t>
      </w:r>
    </w:p>
    <w:p w14:paraId="00000011" w14:textId="77777777" w:rsidR="00D73B59" w:rsidRPr="0015157E" w:rsidRDefault="00FE5ACC" w:rsidP="00FE5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Principal amount of 1 bond: VND 100,000.</w:t>
      </w:r>
    </w:p>
    <w:p w14:paraId="00000012" w14:textId="59773D74" w:rsidR="00D73B59" w:rsidRPr="0015157E" w:rsidRDefault="00FE5ACC" w:rsidP="00FE5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 xml:space="preserve">The total amount of bond interest actually received by each </w:t>
      </w:r>
      <w:r w:rsidR="0015157E" w:rsidRPr="0015157E">
        <w:rPr>
          <w:rFonts w:ascii="Arial" w:hAnsi="Arial" w:cs="Arial"/>
          <w:color w:val="010000"/>
          <w:sz w:val="20"/>
        </w:rPr>
        <w:t>bondholder</w:t>
      </w:r>
      <w:r w:rsidRPr="0015157E">
        <w:rPr>
          <w:rFonts w:ascii="Arial" w:hAnsi="Arial" w:cs="Arial"/>
          <w:color w:val="010000"/>
          <w:sz w:val="20"/>
        </w:rPr>
        <w:t xml:space="preserve"> will be rounded to the nearest unit (if the first decimal place is equal to or greater than 5, the number is rounded up; if the first decimal place is less than 5, the decimal part is canceled);</w:t>
      </w:r>
    </w:p>
    <w:p w14:paraId="00000013" w14:textId="77777777" w:rsidR="00D73B59" w:rsidRPr="0015157E" w:rsidRDefault="00FE5ACC" w:rsidP="00FE5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Date of payment: April 15, 2024.</w:t>
      </w:r>
    </w:p>
    <w:p w14:paraId="00000014" w14:textId="77777777" w:rsidR="00D73B59" w:rsidRPr="0015157E" w:rsidRDefault="00FE5ACC" w:rsidP="00FE5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Implementation venue:</w:t>
      </w:r>
    </w:p>
    <w:p w14:paraId="00000015" w14:textId="77777777" w:rsidR="00D73B59" w:rsidRPr="0015157E" w:rsidRDefault="00FE5ACC" w:rsidP="00FE5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>For deposited securities: Owners carry out procedures to receive interest on corporate bonds at depository members where depository accounts are opened;</w:t>
      </w:r>
    </w:p>
    <w:p w14:paraId="00000016" w14:textId="77777777" w:rsidR="00D73B59" w:rsidRPr="0015157E" w:rsidRDefault="00FE5ACC" w:rsidP="00FE5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5157E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15157E">
        <w:rPr>
          <w:rFonts w:ascii="Arial" w:hAnsi="Arial" w:cs="Arial"/>
          <w:color w:val="010000"/>
          <w:sz w:val="20"/>
        </w:rPr>
        <w:t>undeposited</w:t>
      </w:r>
      <w:proofErr w:type="spellEnd"/>
      <w:r w:rsidRPr="0015157E">
        <w:rPr>
          <w:rFonts w:ascii="Arial" w:hAnsi="Arial" w:cs="Arial"/>
          <w:color w:val="010000"/>
          <w:sz w:val="20"/>
        </w:rPr>
        <w:t xml:space="preserve"> securities: Interest on corporate bonds will be paid to the owner’s registered accounts with </w:t>
      </w:r>
      <w:proofErr w:type="spellStart"/>
      <w:r w:rsidRPr="0015157E">
        <w:rPr>
          <w:rFonts w:ascii="Arial" w:hAnsi="Arial" w:cs="Arial"/>
          <w:color w:val="010000"/>
          <w:sz w:val="20"/>
        </w:rPr>
        <w:t>Techcom</w:t>
      </w:r>
      <w:proofErr w:type="spellEnd"/>
      <w:r w:rsidRPr="0015157E">
        <w:rPr>
          <w:rFonts w:ascii="Arial" w:hAnsi="Arial" w:cs="Arial"/>
          <w:color w:val="010000"/>
          <w:sz w:val="20"/>
        </w:rPr>
        <w:t xml:space="preserve"> Securities Joint Stock Company on April 15, 2024.</w:t>
      </w:r>
    </w:p>
    <w:sectPr w:rsidR="00D73B59" w:rsidRPr="0015157E" w:rsidSect="00FE5AC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3A7"/>
    <w:multiLevelType w:val="multilevel"/>
    <w:tmpl w:val="26F2561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BF55FE"/>
    <w:multiLevelType w:val="hybridMultilevel"/>
    <w:tmpl w:val="55F6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8D3"/>
    <w:multiLevelType w:val="multilevel"/>
    <w:tmpl w:val="57E6A6F2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27519B"/>
    <w:multiLevelType w:val="multilevel"/>
    <w:tmpl w:val="D92E72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355447"/>
    <w:multiLevelType w:val="multilevel"/>
    <w:tmpl w:val="DEECBF70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F74345"/>
    <w:multiLevelType w:val="multilevel"/>
    <w:tmpl w:val="D138CB96"/>
    <w:lvl w:ilvl="0"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9"/>
    <w:rsid w:val="0015157E"/>
    <w:rsid w:val="00D73B59"/>
    <w:rsid w:val="00F03B4F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FADBA"/>
  <w15:docId w15:val="{CA46802A-4779-4C9E-9E0E-2BFCF1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90" w:lineRule="auto"/>
    </w:pPr>
    <w:rPr>
      <w:rFonts w:ascii="Arial" w:eastAsia="Arial" w:hAnsi="Arial" w:cs="Arial"/>
      <w:sz w:val="19"/>
      <w:szCs w:val="19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0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3mb5YJphBWEtO+HKaNKpBZk8g==">CgMxLjAyCGguZ2pkZ3hzOAByITEyeV9keDdiLXptc0hHQUhabENteVFvTWRSWGJyUmpocg==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2024-03-20T03:49:00Z</dcterms:created>
  <dcterms:modified xsi:type="dcterms:W3CDTF">2024-03-21T09:48:00Z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892f5c0d2e309c68e1b3728483b3c23054f42881fd69c7a71b9a4ffb657c3678</vt:lpwstr>
  </property>
</Properties>
</file>