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54F11" w14:textId="77777777" w:rsidR="00B7628A" w:rsidRPr="000043B2" w:rsidRDefault="0069354B" w:rsidP="0081135D">
      <w:pPr>
        <w:pBdr>
          <w:top w:val="nil"/>
          <w:left w:val="nil"/>
          <w:bottom w:val="nil"/>
          <w:right w:val="nil"/>
          <w:between w:val="nil"/>
        </w:pBdr>
        <w:tabs>
          <w:tab w:val="left" w:pos="450"/>
          <w:tab w:val="left" w:pos="7106"/>
        </w:tabs>
        <w:spacing w:after="120" w:line="360" w:lineRule="auto"/>
        <w:jc w:val="both"/>
        <w:rPr>
          <w:rFonts w:ascii="Arial" w:eastAsia="Arial" w:hAnsi="Arial" w:cs="Arial"/>
          <w:b/>
          <w:color w:val="010000"/>
          <w:sz w:val="20"/>
          <w:szCs w:val="20"/>
        </w:rPr>
      </w:pPr>
      <w:r w:rsidRPr="000043B2">
        <w:rPr>
          <w:rFonts w:ascii="Arial" w:hAnsi="Arial" w:cs="Arial"/>
          <w:b/>
          <w:color w:val="010000"/>
          <w:sz w:val="20"/>
        </w:rPr>
        <w:t>GIC: Annual General Mandate 2024</w:t>
      </w:r>
    </w:p>
    <w:p w14:paraId="23C70C5B" w14:textId="77777777" w:rsidR="00B7628A" w:rsidRPr="000043B2" w:rsidRDefault="0069354B" w:rsidP="0081135D">
      <w:pPr>
        <w:pBdr>
          <w:top w:val="nil"/>
          <w:left w:val="nil"/>
          <w:bottom w:val="nil"/>
          <w:right w:val="nil"/>
          <w:between w:val="nil"/>
        </w:pBdr>
        <w:tabs>
          <w:tab w:val="left" w:pos="450"/>
          <w:tab w:val="left" w:pos="7106"/>
        </w:tabs>
        <w:spacing w:after="120" w:line="360" w:lineRule="auto"/>
        <w:jc w:val="both"/>
        <w:rPr>
          <w:rFonts w:ascii="Arial" w:eastAsia="Arial" w:hAnsi="Arial" w:cs="Arial"/>
          <w:color w:val="010000"/>
          <w:sz w:val="20"/>
          <w:szCs w:val="20"/>
        </w:rPr>
      </w:pPr>
      <w:r w:rsidRPr="000043B2">
        <w:rPr>
          <w:rFonts w:ascii="Arial" w:hAnsi="Arial" w:cs="Arial"/>
          <w:color w:val="010000"/>
          <w:sz w:val="20"/>
        </w:rPr>
        <w:t>On March 15, 2024, Green Development and Investment Service Joint Stock Company announced Annual General Mandate No. 01/2024/NQ-DHDCD as follows:</w:t>
      </w:r>
    </w:p>
    <w:p w14:paraId="2631B5FC"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‎‎Article 1. The Annual General Meeting of Shareholders 2024 of Green Development and Investment Service Joint Stock Company approved the following contents:</w:t>
      </w:r>
    </w:p>
    <w:p w14:paraId="5C1F3D7E" w14:textId="168D5261" w:rsidR="00B7628A" w:rsidRPr="000043B2" w:rsidRDefault="0069354B" w:rsidP="0081135D">
      <w:pPr>
        <w:numPr>
          <w:ilvl w:val="0"/>
          <w:numId w:val="7"/>
        </w:numPr>
        <w:pBdr>
          <w:top w:val="nil"/>
          <w:left w:val="nil"/>
          <w:bottom w:val="nil"/>
          <w:right w:val="nil"/>
          <w:between w:val="nil"/>
        </w:pBdr>
        <w:tabs>
          <w:tab w:val="left" w:pos="450"/>
          <w:tab w:val="left" w:pos="1859"/>
        </w:tabs>
        <w:spacing w:after="120" w:line="360" w:lineRule="auto"/>
        <w:jc w:val="both"/>
        <w:rPr>
          <w:rFonts w:ascii="Arial" w:hAnsi="Arial" w:cs="Arial"/>
          <w:color w:val="010000"/>
          <w:sz w:val="20"/>
          <w:szCs w:val="20"/>
        </w:rPr>
      </w:pPr>
      <w:r w:rsidRPr="000043B2">
        <w:rPr>
          <w:rFonts w:ascii="Arial" w:hAnsi="Arial" w:cs="Arial"/>
          <w:color w:val="010000"/>
          <w:sz w:val="20"/>
        </w:rPr>
        <w:t>Approv</w:t>
      </w:r>
      <w:r w:rsidR="003D3157" w:rsidRPr="000043B2">
        <w:rPr>
          <w:rFonts w:ascii="Arial" w:hAnsi="Arial" w:cs="Arial" w:hint="eastAsia"/>
          <w:color w:val="010000"/>
          <w:sz w:val="20"/>
        </w:rPr>
        <w:t xml:space="preserve">e </w:t>
      </w:r>
      <w:r w:rsidRPr="000043B2">
        <w:rPr>
          <w:rFonts w:ascii="Arial" w:hAnsi="Arial" w:cs="Arial"/>
          <w:color w:val="010000"/>
          <w:sz w:val="20"/>
        </w:rPr>
        <w:t>the Board of Directors' Activity Report in 2023; Report on business results in 2023 and business plan in 2024.</w:t>
      </w:r>
    </w:p>
    <w:p w14:paraId="3586E669" w14:textId="77777777" w:rsidR="00B7628A" w:rsidRPr="000043B2" w:rsidRDefault="0069354B" w:rsidP="0081135D">
      <w:pPr>
        <w:keepNext/>
        <w:tabs>
          <w:tab w:val="left" w:pos="450"/>
          <w:tab w:val="left" w:pos="559"/>
        </w:tabs>
        <w:spacing w:after="120" w:line="360" w:lineRule="auto"/>
        <w:jc w:val="both"/>
        <w:rPr>
          <w:rFonts w:ascii="Arial" w:eastAsia="Arial" w:hAnsi="Arial" w:cs="Arial"/>
          <w:color w:val="010000"/>
          <w:sz w:val="20"/>
          <w:szCs w:val="20"/>
        </w:rPr>
      </w:pPr>
      <w:r w:rsidRPr="000043B2">
        <w:rPr>
          <w:rFonts w:ascii="Arial" w:hAnsi="Arial" w:cs="Arial"/>
          <w:color w:val="010000"/>
          <w:sz w:val="20"/>
        </w:rPr>
        <w:t>Result of 2023 business activities:</w:t>
      </w:r>
    </w:p>
    <w:p w14:paraId="1342299B" w14:textId="0D7D50E2" w:rsidR="00B7628A" w:rsidRPr="000043B2" w:rsidRDefault="0069354B" w:rsidP="0081135D">
      <w:pPr>
        <w:numPr>
          <w:ilvl w:val="1"/>
          <w:numId w:val="3"/>
        </w:numPr>
        <w:tabs>
          <w:tab w:val="left" w:pos="450"/>
          <w:tab w:val="left" w:pos="750"/>
        </w:tabs>
        <w:spacing w:after="120" w:line="360" w:lineRule="auto"/>
        <w:jc w:val="both"/>
        <w:rPr>
          <w:rFonts w:ascii="Arial" w:hAnsi="Arial" w:cs="Arial"/>
          <w:color w:val="010000"/>
          <w:sz w:val="20"/>
        </w:rPr>
      </w:pPr>
      <w:r w:rsidRPr="000043B2">
        <w:rPr>
          <w:rFonts w:ascii="Arial" w:hAnsi="Arial" w:cs="Arial"/>
          <w:color w:val="010000"/>
          <w:sz w:val="20"/>
        </w:rPr>
        <w:t>Output target</w:t>
      </w:r>
      <w:r w:rsidR="001C3D6F" w:rsidRPr="000043B2">
        <w:rPr>
          <w:rFonts w:ascii="Arial" w:hAnsi="Arial" w:cs="Arial" w:hint="eastAsia"/>
          <w:color w:val="010000"/>
          <w:sz w:val="20"/>
        </w:rPr>
        <w:t>:</w:t>
      </w:r>
      <w:r w:rsidRPr="000043B2">
        <w:rPr>
          <w:rFonts w:ascii="Arial" w:hAnsi="Arial" w:cs="Arial"/>
          <w:color w:val="010000"/>
          <w:sz w:val="20"/>
        </w:rPr>
        <w:t xml:space="preserve"> 383,950 </w:t>
      </w:r>
      <w:proofErr w:type="spellStart"/>
      <w:r w:rsidRPr="000043B2">
        <w:rPr>
          <w:rFonts w:ascii="Arial" w:hAnsi="Arial" w:cs="Arial"/>
          <w:color w:val="010000"/>
          <w:sz w:val="20"/>
        </w:rPr>
        <w:t>Teus</w:t>
      </w:r>
      <w:proofErr w:type="spellEnd"/>
      <w:r w:rsidRPr="000043B2">
        <w:rPr>
          <w:rFonts w:ascii="Arial" w:hAnsi="Arial" w:cs="Arial"/>
          <w:color w:val="010000"/>
          <w:sz w:val="20"/>
        </w:rPr>
        <w:t>, an increase of 6.65% compared to plan and equal to 98.79% compared to 2022</w:t>
      </w:r>
    </w:p>
    <w:p w14:paraId="6C42E284" w14:textId="77777777" w:rsidR="00B7628A" w:rsidRPr="000043B2" w:rsidRDefault="0069354B" w:rsidP="0081135D">
      <w:pPr>
        <w:numPr>
          <w:ilvl w:val="1"/>
          <w:numId w:val="3"/>
        </w:numPr>
        <w:tabs>
          <w:tab w:val="left" w:pos="450"/>
          <w:tab w:val="left" w:pos="746"/>
        </w:tabs>
        <w:spacing w:after="120" w:line="360" w:lineRule="auto"/>
        <w:jc w:val="both"/>
        <w:rPr>
          <w:rFonts w:ascii="Arial" w:hAnsi="Arial" w:cs="Arial"/>
          <w:color w:val="010000"/>
          <w:sz w:val="20"/>
        </w:rPr>
      </w:pPr>
      <w:r w:rsidRPr="000043B2">
        <w:rPr>
          <w:rFonts w:ascii="Arial" w:hAnsi="Arial" w:cs="Arial"/>
          <w:color w:val="010000"/>
          <w:sz w:val="20"/>
        </w:rPr>
        <w:t>Financial targets</w:t>
      </w:r>
    </w:p>
    <w:p w14:paraId="5CF8DF88" w14:textId="77777777" w:rsidR="00B7628A" w:rsidRPr="000043B2" w:rsidRDefault="0069354B" w:rsidP="0081135D">
      <w:pPr>
        <w:pStyle w:val="ListParagraph"/>
        <w:numPr>
          <w:ilvl w:val="0"/>
          <w:numId w:val="10"/>
        </w:numPr>
        <w:tabs>
          <w:tab w:val="left" w:pos="450"/>
        </w:tabs>
        <w:spacing w:after="120" w:line="360" w:lineRule="auto"/>
        <w:ind w:left="0" w:firstLine="0"/>
        <w:jc w:val="both"/>
        <w:rPr>
          <w:rFonts w:ascii="Arial" w:eastAsia="Arial" w:hAnsi="Arial" w:cs="Arial"/>
          <w:color w:val="010000"/>
          <w:sz w:val="20"/>
          <w:szCs w:val="20"/>
        </w:rPr>
      </w:pPr>
      <w:r w:rsidRPr="000043B2">
        <w:rPr>
          <w:rFonts w:ascii="Arial" w:hAnsi="Arial" w:cs="Arial"/>
          <w:color w:val="010000"/>
          <w:sz w:val="20"/>
        </w:rPr>
        <w:t>Revenue: VND 172.27 billion, exceeding 7.67% of the General Meeting of Shareholders' plan and equal to 102.34% compared to 2022.</w:t>
      </w:r>
    </w:p>
    <w:p w14:paraId="52A44EBB" w14:textId="77777777" w:rsidR="00B7628A" w:rsidRPr="000043B2" w:rsidRDefault="0069354B" w:rsidP="0081135D">
      <w:pPr>
        <w:pStyle w:val="ListParagraph"/>
        <w:numPr>
          <w:ilvl w:val="0"/>
          <w:numId w:val="10"/>
        </w:numPr>
        <w:tabs>
          <w:tab w:val="left" w:pos="450"/>
        </w:tabs>
        <w:spacing w:after="120" w:line="360" w:lineRule="auto"/>
        <w:ind w:left="0" w:firstLine="0"/>
        <w:jc w:val="both"/>
        <w:rPr>
          <w:rFonts w:ascii="Arial" w:eastAsia="Arial" w:hAnsi="Arial" w:cs="Arial"/>
          <w:color w:val="010000"/>
          <w:sz w:val="20"/>
          <w:szCs w:val="20"/>
        </w:rPr>
      </w:pPr>
      <w:r w:rsidRPr="000043B2">
        <w:rPr>
          <w:rFonts w:ascii="Arial" w:hAnsi="Arial" w:cs="Arial"/>
          <w:color w:val="010000"/>
          <w:sz w:val="20"/>
        </w:rPr>
        <w:t>Profit before tax: VND 18.59 billion, exceeding 23.93% compared to the General Meeting of Shareholders plan and equal to 100.60% compared to 2022.</w:t>
      </w:r>
    </w:p>
    <w:p w14:paraId="046D2C1C" w14:textId="77777777" w:rsidR="00B7628A" w:rsidRPr="000043B2" w:rsidRDefault="0069354B" w:rsidP="0081135D">
      <w:pPr>
        <w:keepNext/>
        <w:numPr>
          <w:ilvl w:val="0"/>
          <w:numId w:val="7"/>
        </w:numPr>
        <w:pBdr>
          <w:top w:val="nil"/>
          <w:left w:val="nil"/>
          <w:bottom w:val="nil"/>
          <w:right w:val="nil"/>
          <w:between w:val="nil"/>
        </w:pBdr>
        <w:tabs>
          <w:tab w:val="left" w:pos="450"/>
          <w:tab w:val="left" w:pos="1878"/>
        </w:tabs>
        <w:spacing w:after="120" w:line="360" w:lineRule="auto"/>
        <w:jc w:val="both"/>
        <w:rPr>
          <w:rFonts w:ascii="Arial" w:hAnsi="Arial" w:cs="Arial"/>
          <w:color w:val="010000"/>
          <w:sz w:val="20"/>
          <w:szCs w:val="20"/>
        </w:rPr>
      </w:pPr>
      <w:r w:rsidRPr="000043B2">
        <w:rPr>
          <w:rFonts w:ascii="Arial" w:hAnsi="Arial" w:cs="Arial"/>
          <w:color w:val="010000"/>
          <w:sz w:val="20"/>
        </w:rPr>
        <w:t>Approve the report on activities of the Supervisory Board in 2023</w:t>
      </w:r>
    </w:p>
    <w:p w14:paraId="6B41EF48" w14:textId="0A51C8A5" w:rsidR="00B7628A" w:rsidRPr="000043B2" w:rsidRDefault="0069354B" w:rsidP="0081135D">
      <w:pPr>
        <w:keepNext/>
        <w:numPr>
          <w:ilvl w:val="0"/>
          <w:numId w:val="7"/>
        </w:numPr>
        <w:pBdr>
          <w:top w:val="nil"/>
          <w:left w:val="nil"/>
          <w:bottom w:val="nil"/>
          <w:right w:val="nil"/>
          <w:between w:val="nil"/>
        </w:pBdr>
        <w:tabs>
          <w:tab w:val="left" w:pos="450"/>
          <w:tab w:val="left" w:pos="1888"/>
        </w:tabs>
        <w:spacing w:after="120" w:line="360" w:lineRule="auto"/>
        <w:jc w:val="both"/>
        <w:rPr>
          <w:rFonts w:ascii="Arial" w:hAnsi="Arial" w:cs="Arial"/>
          <w:color w:val="010000"/>
          <w:sz w:val="20"/>
          <w:szCs w:val="20"/>
        </w:rPr>
      </w:pPr>
      <w:r w:rsidRPr="000043B2">
        <w:rPr>
          <w:rFonts w:ascii="Arial" w:hAnsi="Arial" w:cs="Arial"/>
          <w:color w:val="010000"/>
          <w:sz w:val="20"/>
        </w:rPr>
        <w:t xml:space="preserve">Approve the Audited </w:t>
      </w:r>
      <w:r w:rsidR="00462A4F" w:rsidRPr="000043B2">
        <w:rPr>
          <w:rFonts w:ascii="Arial" w:hAnsi="Arial" w:cs="Arial"/>
          <w:color w:val="010000"/>
          <w:sz w:val="20"/>
        </w:rPr>
        <w:t>Financial Statements 20</w:t>
      </w:r>
      <w:r w:rsidRPr="000043B2">
        <w:rPr>
          <w:rFonts w:ascii="Arial" w:hAnsi="Arial" w:cs="Arial"/>
          <w:color w:val="010000"/>
          <w:sz w:val="20"/>
        </w:rPr>
        <w:t>23</w:t>
      </w:r>
    </w:p>
    <w:p w14:paraId="5B859770" w14:textId="616524FD"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 xml:space="preserve">Basic targets in the 2023 Audited </w:t>
      </w:r>
      <w:r w:rsidR="00462A4F" w:rsidRPr="000043B2">
        <w:rPr>
          <w:rFonts w:ascii="Arial" w:hAnsi="Arial" w:cs="Arial"/>
          <w:color w:val="010000"/>
          <w:sz w:val="20"/>
        </w:rPr>
        <w:t>Financial Statement</w:t>
      </w:r>
    </w:p>
    <w:p w14:paraId="2F0F8E50"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Unit: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8"/>
        <w:gridCol w:w="5673"/>
        <w:gridCol w:w="2676"/>
      </w:tblGrid>
      <w:tr w:rsidR="00B7628A" w:rsidRPr="000043B2" w14:paraId="3097A491" w14:textId="77777777" w:rsidTr="0069354B">
        <w:tc>
          <w:tcPr>
            <w:tcW w:w="370" w:type="pct"/>
            <w:tcBorders>
              <w:bottom w:val="single" w:sz="4" w:space="0" w:color="000000"/>
            </w:tcBorders>
            <w:shd w:val="clear" w:color="auto" w:fill="auto"/>
            <w:tcMar>
              <w:top w:w="0" w:type="dxa"/>
              <w:bottom w:w="0" w:type="dxa"/>
            </w:tcMar>
            <w:vAlign w:val="center"/>
          </w:tcPr>
          <w:p w14:paraId="02D358C0"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No.</w:t>
            </w:r>
          </w:p>
        </w:tc>
        <w:tc>
          <w:tcPr>
            <w:tcW w:w="3146" w:type="pct"/>
            <w:tcBorders>
              <w:bottom w:val="single" w:sz="4" w:space="0" w:color="000000"/>
            </w:tcBorders>
            <w:shd w:val="clear" w:color="auto" w:fill="auto"/>
            <w:tcMar>
              <w:top w:w="0" w:type="dxa"/>
              <w:bottom w:w="0" w:type="dxa"/>
            </w:tcMar>
            <w:vAlign w:val="center"/>
          </w:tcPr>
          <w:p w14:paraId="01006E62"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Targets</w:t>
            </w:r>
          </w:p>
        </w:tc>
        <w:tc>
          <w:tcPr>
            <w:tcW w:w="1484" w:type="pct"/>
            <w:tcBorders>
              <w:bottom w:val="single" w:sz="4" w:space="0" w:color="000000"/>
            </w:tcBorders>
            <w:shd w:val="clear" w:color="auto" w:fill="auto"/>
            <w:tcMar>
              <w:top w:w="0" w:type="dxa"/>
              <w:bottom w:w="0" w:type="dxa"/>
            </w:tcMar>
            <w:vAlign w:val="center"/>
          </w:tcPr>
          <w:p w14:paraId="089754AA"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Amount (VND)</w:t>
            </w:r>
          </w:p>
        </w:tc>
      </w:tr>
      <w:tr w:rsidR="00B7628A" w:rsidRPr="000043B2" w14:paraId="72E73238" w14:textId="77777777" w:rsidTr="0069354B">
        <w:tc>
          <w:tcPr>
            <w:tcW w:w="370" w:type="pct"/>
            <w:tcBorders>
              <w:top w:val="single" w:sz="4" w:space="0" w:color="000000"/>
              <w:left w:val="single" w:sz="4" w:space="0" w:color="000000"/>
              <w:bottom w:val="nil"/>
              <w:right w:val="nil"/>
            </w:tcBorders>
            <w:shd w:val="clear" w:color="auto" w:fill="auto"/>
            <w:tcMar>
              <w:top w:w="0" w:type="dxa"/>
              <w:bottom w:w="0" w:type="dxa"/>
            </w:tcMar>
            <w:vAlign w:val="center"/>
          </w:tcPr>
          <w:p w14:paraId="449118D6"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1</w:t>
            </w:r>
          </w:p>
        </w:tc>
        <w:tc>
          <w:tcPr>
            <w:tcW w:w="3146" w:type="pct"/>
            <w:tcBorders>
              <w:top w:val="single" w:sz="4" w:space="0" w:color="000000"/>
              <w:left w:val="nil"/>
              <w:bottom w:val="nil"/>
              <w:right w:val="nil"/>
            </w:tcBorders>
            <w:shd w:val="clear" w:color="auto" w:fill="auto"/>
            <w:tcMar>
              <w:top w:w="0" w:type="dxa"/>
              <w:bottom w:w="0" w:type="dxa"/>
            </w:tcMar>
            <w:vAlign w:val="center"/>
          </w:tcPr>
          <w:p w14:paraId="0D72A4B5"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Total assets:</w:t>
            </w:r>
          </w:p>
        </w:tc>
        <w:tc>
          <w:tcPr>
            <w:tcW w:w="1484" w:type="pct"/>
            <w:tcBorders>
              <w:top w:val="single" w:sz="4" w:space="0" w:color="000000"/>
              <w:left w:val="nil"/>
              <w:bottom w:val="nil"/>
              <w:right w:val="single" w:sz="4" w:space="0" w:color="000000"/>
            </w:tcBorders>
            <w:shd w:val="clear" w:color="auto" w:fill="auto"/>
            <w:tcMar>
              <w:top w:w="0" w:type="dxa"/>
              <w:bottom w:w="0" w:type="dxa"/>
            </w:tcMar>
            <w:vAlign w:val="center"/>
          </w:tcPr>
          <w:p w14:paraId="02257ADD"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267,426,930,007</w:t>
            </w:r>
          </w:p>
        </w:tc>
      </w:tr>
      <w:tr w:rsidR="00B7628A" w:rsidRPr="000043B2" w14:paraId="4DFF508C" w14:textId="77777777" w:rsidTr="0069354B">
        <w:tc>
          <w:tcPr>
            <w:tcW w:w="370" w:type="pct"/>
            <w:tcBorders>
              <w:top w:val="nil"/>
              <w:left w:val="single" w:sz="4" w:space="0" w:color="000000"/>
              <w:bottom w:val="nil"/>
              <w:right w:val="nil"/>
            </w:tcBorders>
            <w:shd w:val="clear" w:color="auto" w:fill="auto"/>
            <w:tcMar>
              <w:top w:w="0" w:type="dxa"/>
              <w:bottom w:w="0" w:type="dxa"/>
            </w:tcMar>
            <w:vAlign w:val="center"/>
          </w:tcPr>
          <w:p w14:paraId="2A7E888E"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2</w:t>
            </w:r>
          </w:p>
        </w:tc>
        <w:tc>
          <w:tcPr>
            <w:tcW w:w="3146" w:type="pct"/>
            <w:tcBorders>
              <w:top w:val="nil"/>
              <w:left w:val="nil"/>
              <w:bottom w:val="nil"/>
              <w:right w:val="nil"/>
            </w:tcBorders>
            <w:shd w:val="clear" w:color="auto" w:fill="auto"/>
            <w:tcMar>
              <w:top w:w="0" w:type="dxa"/>
              <w:bottom w:w="0" w:type="dxa"/>
            </w:tcMar>
            <w:vAlign w:val="center"/>
          </w:tcPr>
          <w:p w14:paraId="534983E1"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Owners’ equity</w:t>
            </w:r>
          </w:p>
        </w:tc>
        <w:tc>
          <w:tcPr>
            <w:tcW w:w="1484" w:type="pct"/>
            <w:tcBorders>
              <w:top w:val="nil"/>
              <w:left w:val="nil"/>
              <w:bottom w:val="nil"/>
              <w:right w:val="single" w:sz="4" w:space="0" w:color="000000"/>
            </w:tcBorders>
            <w:shd w:val="clear" w:color="auto" w:fill="auto"/>
            <w:tcMar>
              <w:top w:w="0" w:type="dxa"/>
              <w:bottom w:w="0" w:type="dxa"/>
            </w:tcMar>
            <w:vAlign w:val="center"/>
          </w:tcPr>
          <w:p w14:paraId="465535D7"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242,635,338,874</w:t>
            </w:r>
          </w:p>
        </w:tc>
      </w:tr>
      <w:tr w:rsidR="00B7628A" w:rsidRPr="000043B2" w14:paraId="3B4B7876" w14:textId="77777777" w:rsidTr="0069354B">
        <w:tc>
          <w:tcPr>
            <w:tcW w:w="370" w:type="pct"/>
            <w:tcBorders>
              <w:top w:val="nil"/>
              <w:left w:val="single" w:sz="4" w:space="0" w:color="000000"/>
              <w:bottom w:val="nil"/>
              <w:right w:val="nil"/>
            </w:tcBorders>
            <w:shd w:val="clear" w:color="auto" w:fill="auto"/>
            <w:tcMar>
              <w:top w:w="0" w:type="dxa"/>
              <w:bottom w:w="0" w:type="dxa"/>
            </w:tcMar>
            <w:vAlign w:val="center"/>
          </w:tcPr>
          <w:p w14:paraId="56C1E3B9" w14:textId="77777777" w:rsidR="00B7628A" w:rsidRPr="000043B2" w:rsidRDefault="00B7628A" w:rsidP="0081135D">
            <w:pPr>
              <w:tabs>
                <w:tab w:val="left" w:pos="450"/>
              </w:tabs>
              <w:spacing w:after="120" w:line="360" w:lineRule="auto"/>
              <w:jc w:val="both"/>
              <w:rPr>
                <w:rFonts w:ascii="Arial" w:eastAsia="Arial" w:hAnsi="Arial" w:cs="Arial"/>
                <w:color w:val="010000"/>
                <w:sz w:val="20"/>
                <w:szCs w:val="20"/>
              </w:rPr>
            </w:pPr>
          </w:p>
        </w:tc>
        <w:tc>
          <w:tcPr>
            <w:tcW w:w="3146" w:type="pct"/>
            <w:tcBorders>
              <w:top w:val="nil"/>
              <w:left w:val="nil"/>
              <w:bottom w:val="nil"/>
              <w:right w:val="nil"/>
            </w:tcBorders>
            <w:shd w:val="clear" w:color="auto" w:fill="auto"/>
            <w:tcMar>
              <w:top w:w="0" w:type="dxa"/>
              <w:bottom w:w="0" w:type="dxa"/>
            </w:tcMar>
            <w:vAlign w:val="center"/>
          </w:tcPr>
          <w:p w14:paraId="674A1A61"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In which: Share capital</w:t>
            </w:r>
          </w:p>
        </w:tc>
        <w:tc>
          <w:tcPr>
            <w:tcW w:w="1484" w:type="pct"/>
            <w:tcBorders>
              <w:top w:val="nil"/>
              <w:left w:val="nil"/>
              <w:bottom w:val="nil"/>
              <w:right w:val="single" w:sz="4" w:space="0" w:color="000000"/>
            </w:tcBorders>
            <w:shd w:val="clear" w:color="auto" w:fill="auto"/>
            <w:tcMar>
              <w:top w:w="0" w:type="dxa"/>
              <w:bottom w:w="0" w:type="dxa"/>
            </w:tcMar>
            <w:vAlign w:val="center"/>
          </w:tcPr>
          <w:p w14:paraId="20E2E3D7"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121,200,000,000</w:t>
            </w:r>
          </w:p>
        </w:tc>
      </w:tr>
      <w:tr w:rsidR="00B7628A" w:rsidRPr="000043B2" w14:paraId="021F6518" w14:textId="77777777" w:rsidTr="0069354B">
        <w:tc>
          <w:tcPr>
            <w:tcW w:w="370" w:type="pct"/>
            <w:tcBorders>
              <w:top w:val="nil"/>
              <w:left w:val="single" w:sz="4" w:space="0" w:color="000000"/>
              <w:bottom w:val="nil"/>
              <w:right w:val="nil"/>
            </w:tcBorders>
            <w:shd w:val="clear" w:color="auto" w:fill="auto"/>
            <w:tcMar>
              <w:top w:w="0" w:type="dxa"/>
              <w:bottom w:w="0" w:type="dxa"/>
            </w:tcMar>
            <w:vAlign w:val="center"/>
          </w:tcPr>
          <w:p w14:paraId="59591A09"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3</w:t>
            </w:r>
          </w:p>
        </w:tc>
        <w:tc>
          <w:tcPr>
            <w:tcW w:w="3146" w:type="pct"/>
            <w:tcBorders>
              <w:top w:val="nil"/>
              <w:left w:val="nil"/>
              <w:bottom w:val="nil"/>
              <w:right w:val="nil"/>
            </w:tcBorders>
            <w:shd w:val="clear" w:color="auto" w:fill="auto"/>
            <w:tcMar>
              <w:top w:w="0" w:type="dxa"/>
              <w:bottom w:w="0" w:type="dxa"/>
            </w:tcMar>
            <w:vAlign w:val="center"/>
          </w:tcPr>
          <w:p w14:paraId="4A48BCEF"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Revenue from the provision of services</w:t>
            </w:r>
          </w:p>
        </w:tc>
        <w:tc>
          <w:tcPr>
            <w:tcW w:w="1484" w:type="pct"/>
            <w:tcBorders>
              <w:top w:val="nil"/>
              <w:left w:val="nil"/>
              <w:bottom w:val="nil"/>
              <w:right w:val="single" w:sz="4" w:space="0" w:color="000000"/>
            </w:tcBorders>
            <w:shd w:val="clear" w:color="auto" w:fill="auto"/>
            <w:tcMar>
              <w:top w:w="0" w:type="dxa"/>
              <w:bottom w:w="0" w:type="dxa"/>
            </w:tcMar>
            <w:vAlign w:val="center"/>
          </w:tcPr>
          <w:p w14:paraId="63850BB7"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172,273,666,111</w:t>
            </w:r>
          </w:p>
        </w:tc>
      </w:tr>
      <w:tr w:rsidR="00B7628A" w:rsidRPr="000043B2" w14:paraId="71D6B56B" w14:textId="77777777" w:rsidTr="0069354B">
        <w:tc>
          <w:tcPr>
            <w:tcW w:w="370" w:type="pct"/>
            <w:tcBorders>
              <w:top w:val="nil"/>
              <w:left w:val="single" w:sz="4" w:space="0" w:color="000000"/>
              <w:bottom w:val="nil"/>
              <w:right w:val="nil"/>
            </w:tcBorders>
            <w:shd w:val="clear" w:color="auto" w:fill="auto"/>
            <w:tcMar>
              <w:top w:w="0" w:type="dxa"/>
              <w:bottom w:w="0" w:type="dxa"/>
            </w:tcMar>
            <w:vAlign w:val="center"/>
          </w:tcPr>
          <w:p w14:paraId="0975F5A1"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4</w:t>
            </w:r>
          </w:p>
        </w:tc>
        <w:tc>
          <w:tcPr>
            <w:tcW w:w="3146" w:type="pct"/>
            <w:tcBorders>
              <w:top w:val="nil"/>
              <w:left w:val="nil"/>
              <w:bottom w:val="nil"/>
              <w:right w:val="nil"/>
            </w:tcBorders>
            <w:shd w:val="clear" w:color="auto" w:fill="auto"/>
            <w:tcMar>
              <w:top w:w="0" w:type="dxa"/>
              <w:bottom w:w="0" w:type="dxa"/>
            </w:tcMar>
            <w:vAlign w:val="center"/>
          </w:tcPr>
          <w:p w14:paraId="0D5CE5E7"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Revenue from financial activities</w:t>
            </w:r>
          </w:p>
        </w:tc>
        <w:tc>
          <w:tcPr>
            <w:tcW w:w="1484" w:type="pct"/>
            <w:tcBorders>
              <w:top w:val="nil"/>
              <w:left w:val="nil"/>
              <w:bottom w:val="nil"/>
              <w:right w:val="single" w:sz="4" w:space="0" w:color="000000"/>
            </w:tcBorders>
            <w:shd w:val="clear" w:color="auto" w:fill="auto"/>
            <w:tcMar>
              <w:top w:w="0" w:type="dxa"/>
              <w:bottom w:w="0" w:type="dxa"/>
            </w:tcMar>
            <w:vAlign w:val="center"/>
          </w:tcPr>
          <w:p w14:paraId="3FEC932B"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2,243,669,119</w:t>
            </w:r>
          </w:p>
        </w:tc>
      </w:tr>
      <w:tr w:rsidR="00B7628A" w:rsidRPr="000043B2" w14:paraId="53A0DE36" w14:textId="77777777" w:rsidTr="0069354B">
        <w:tc>
          <w:tcPr>
            <w:tcW w:w="370" w:type="pct"/>
            <w:tcBorders>
              <w:top w:val="nil"/>
              <w:left w:val="single" w:sz="4" w:space="0" w:color="000000"/>
              <w:bottom w:val="nil"/>
              <w:right w:val="nil"/>
            </w:tcBorders>
            <w:shd w:val="clear" w:color="auto" w:fill="auto"/>
            <w:tcMar>
              <w:top w:w="0" w:type="dxa"/>
              <w:bottom w:w="0" w:type="dxa"/>
            </w:tcMar>
            <w:vAlign w:val="center"/>
          </w:tcPr>
          <w:p w14:paraId="54FAB578"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5</w:t>
            </w:r>
          </w:p>
        </w:tc>
        <w:tc>
          <w:tcPr>
            <w:tcW w:w="3146" w:type="pct"/>
            <w:tcBorders>
              <w:top w:val="nil"/>
              <w:left w:val="nil"/>
              <w:bottom w:val="nil"/>
              <w:right w:val="nil"/>
            </w:tcBorders>
            <w:shd w:val="clear" w:color="auto" w:fill="auto"/>
            <w:tcMar>
              <w:top w:w="0" w:type="dxa"/>
              <w:bottom w:w="0" w:type="dxa"/>
            </w:tcMar>
            <w:vAlign w:val="center"/>
          </w:tcPr>
          <w:p w14:paraId="31109024" w14:textId="3C6B2F9D"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Profit before tax</w:t>
            </w:r>
          </w:p>
        </w:tc>
        <w:tc>
          <w:tcPr>
            <w:tcW w:w="1484" w:type="pct"/>
            <w:tcBorders>
              <w:top w:val="nil"/>
              <w:left w:val="nil"/>
              <w:bottom w:val="nil"/>
              <w:right w:val="single" w:sz="4" w:space="0" w:color="000000"/>
            </w:tcBorders>
            <w:shd w:val="clear" w:color="auto" w:fill="auto"/>
            <w:tcMar>
              <w:top w:w="0" w:type="dxa"/>
              <w:bottom w:w="0" w:type="dxa"/>
            </w:tcMar>
            <w:vAlign w:val="center"/>
          </w:tcPr>
          <w:p w14:paraId="63767CDC"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18,592,682,798</w:t>
            </w:r>
          </w:p>
        </w:tc>
      </w:tr>
      <w:tr w:rsidR="00B7628A" w:rsidRPr="000043B2" w14:paraId="2987DC1D" w14:textId="77777777" w:rsidTr="0069354B">
        <w:tc>
          <w:tcPr>
            <w:tcW w:w="370" w:type="pct"/>
            <w:tcBorders>
              <w:top w:val="nil"/>
              <w:left w:val="single" w:sz="4" w:space="0" w:color="000000"/>
              <w:bottom w:val="nil"/>
              <w:right w:val="nil"/>
            </w:tcBorders>
            <w:shd w:val="clear" w:color="auto" w:fill="auto"/>
            <w:tcMar>
              <w:top w:w="0" w:type="dxa"/>
              <w:bottom w:w="0" w:type="dxa"/>
            </w:tcMar>
            <w:vAlign w:val="center"/>
          </w:tcPr>
          <w:p w14:paraId="5D7992BC"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6</w:t>
            </w:r>
          </w:p>
        </w:tc>
        <w:tc>
          <w:tcPr>
            <w:tcW w:w="3146" w:type="pct"/>
            <w:tcBorders>
              <w:top w:val="nil"/>
              <w:left w:val="nil"/>
              <w:bottom w:val="nil"/>
              <w:right w:val="nil"/>
            </w:tcBorders>
            <w:shd w:val="clear" w:color="auto" w:fill="auto"/>
            <w:tcMar>
              <w:top w:w="0" w:type="dxa"/>
              <w:bottom w:w="0" w:type="dxa"/>
            </w:tcMar>
            <w:vAlign w:val="center"/>
          </w:tcPr>
          <w:p w14:paraId="1BFF1D53" w14:textId="2882C924"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Profit after tax</w:t>
            </w:r>
          </w:p>
        </w:tc>
        <w:tc>
          <w:tcPr>
            <w:tcW w:w="1484" w:type="pct"/>
            <w:tcBorders>
              <w:top w:val="nil"/>
              <w:left w:val="nil"/>
              <w:bottom w:val="nil"/>
              <w:right w:val="single" w:sz="4" w:space="0" w:color="000000"/>
            </w:tcBorders>
            <w:shd w:val="clear" w:color="auto" w:fill="auto"/>
            <w:tcMar>
              <w:top w:w="0" w:type="dxa"/>
              <w:bottom w:w="0" w:type="dxa"/>
            </w:tcMar>
            <w:vAlign w:val="center"/>
          </w:tcPr>
          <w:p w14:paraId="2514C9A1"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16,631,178,656</w:t>
            </w:r>
          </w:p>
        </w:tc>
      </w:tr>
      <w:tr w:rsidR="00B7628A" w:rsidRPr="000043B2" w14:paraId="094B26DA" w14:textId="77777777" w:rsidTr="0069354B">
        <w:tc>
          <w:tcPr>
            <w:tcW w:w="370" w:type="pct"/>
            <w:tcBorders>
              <w:top w:val="nil"/>
              <w:right w:val="nil"/>
            </w:tcBorders>
            <w:shd w:val="clear" w:color="auto" w:fill="auto"/>
            <w:tcMar>
              <w:top w:w="0" w:type="dxa"/>
              <w:bottom w:w="0" w:type="dxa"/>
            </w:tcMar>
            <w:vAlign w:val="center"/>
          </w:tcPr>
          <w:p w14:paraId="5C1407F8"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7</w:t>
            </w:r>
          </w:p>
        </w:tc>
        <w:tc>
          <w:tcPr>
            <w:tcW w:w="3146" w:type="pct"/>
            <w:tcBorders>
              <w:top w:val="nil"/>
              <w:left w:val="nil"/>
              <w:right w:val="nil"/>
            </w:tcBorders>
            <w:shd w:val="clear" w:color="auto" w:fill="auto"/>
            <w:tcMar>
              <w:top w:w="0" w:type="dxa"/>
              <w:bottom w:w="0" w:type="dxa"/>
            </w:tcMar>
            <w:vAlign w:val="center"/>
          </w:tcPr>
          <w:p w14:paraId="0782A138" w14:textId="12DC1160" w:rsidR="00B7628A" w:rsidRPr="000043B2" w:rsidRDefault="0069354B" w:rsidP="0081135D">
            <w:pPr>
              <w:pBdr>
                <w:top w:val="nil"/>
                <w:left w:val="nil"/>
                <w:bottom w:val="nil"/>
                <w:right w:val="nil"/>
                <w:between w:val="nil"/>
              </w:pBdr>
              <w:tabs>
                <w:tab w:val="left" w:pos="450"/>
                <w:tab w:val="left" w:pos="5903"/>
              </w:tabs>
              <w:spacing w:after="120" w:line="360" w:lineRule="auto"/>
              <w:jc w:val="both"/>
              <w:rPr>
                <w:rFonts w:ascii="Arial" w:eastAsia="Arial" w:hAnsi="Arial" w:cs="Arial"/>
                <w:color w:val="010000"/>
                <w:sz w:val="20"/>
                <w:szCs w:val="20"/>
              </w:rPr>
            </w:pPr>
            <w:r w:rsidRPr="000043B2">
              <w:rPr>
                <w:rFonts w:ascii="Arial" w:hAnsi="Arial" w:cs="Arial"/>
                <w:color w:val="010000"/>
                <w:sz w:val="20"/>
              </w:rPr>
              <w:t xml:space="preserve">Basic </w:t>
            </w:r>
            <w:r w:rsidR="00462A4F" w:rsidRPr="000043B2">
              <w:rPr>
                <w:rFonts w:ascii="Arial" w:hAnsi="Arial" w:cs="Arial"/>
                <w:color w:val="010000"/>
                <w:sz w:val="20"/>
              </w:rPr>
              <w:t>earnings</w:t>
            </w:r>
            <w:r w:rsidRPr="000043B2">
              <w:rPr>
                <w:rFonts w:ascii="Arial" w:hAnsi="Arial" w:cs="Arial"/>
                <w:color w:val="010000"/>
                <w:sz w:val="20"/>
              </w:rPr>
              <w:t xml:space="preserve"> per share</w:t>
            </w:r>
          </w:p>
        </w:tc>
        <w:tc>
          <w:tcPr>
            <w:tcW w:w="1484" w:type="pct"/>
            <w:tcBorders>
              <w:top w:val="nil"/>
              <w:left w:val="nil"/>
            </w:tcBorders>
            <w:shd w:val="clear" w:color="auto" w:fill="auto"/>
            <w:tcMar>
              <w:top w:w="0" w:type="dxa"/>
              <w:bottom w:w="0" w:type="dxa"/>
            </w:tcMar>
            <w:vAlign w:val="center"/>
          </w:tcPr>
          <w:p w14:paraId="396F98F1"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1,372</w:t>
            </w:r>
          </w:p>
        </w:tc>
      </w:tr>
    </w:tbl>
    <w:p w14:paraId="581A6EDA" w14:textId="77777777" w:rsidR="00B7628A" w:rsidRPr="000043B2" w:rsidRDefault="0069354B" w:rsidP="0081135D">
      <w:pPr>
        <w:keepNext/>
        <w:numPr>
          <w:ilvl w:val="0"/>
          <w:numId w:val="7"/>
        </w:numPr>
        <w:pBdr>
          <w:top w:val="nil"/>
          <w:left w:val="nil"/>
          <w:bottom w:val="nil"/>
          <w:right w:val="nil"/>
          <w:between w:val="nil"/>
        </w:pBdr>
        <w:tabs>
          <w:tab w:val="left" w:pos="450"/>
          <w:tab w:val="left" w:pos="1863"/>
        </w:tabs>
        <w:spacing w:after="120" w:line="360" w:lineRule="auto"/>
        <w:jc w:val="both"/>
        <w:rPr>
          <w:rFonts w:ascii="Arial" w:hAnsi="Arial" w:cs="Arial"/>
          <w:color w:val="010000"/>
          <w:sz w:val="20"/>
          <w:szCs w:val="20"/>
        </w:rPr>
      </w:pPr>
      <w:r w:rsidRPr="000043B2">
        <w:rPr>
          <w:rFonts w:ascii="Arial" w:hAnsi="Arial" w:cs="Arial"/>
          <w:color w:val="010000"/>
          <w:sz w:val="20"/>
        </w:rPr>
        <w:t>Approve the profit distribution plan in 2023.</w:t>
      </w:r>
    </w:p>
    <w:p w14:paraId="091B9171"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The profit distribution plan for 2023 is as follows:</w:t>
      </w:r>
    </w:p>
    <w:p w14:paraId="01A75347" w14:textId="0DC2B5DB" w:rsidR="00B7628A" w:rsidRPr="000043B2" w:rsidRDefault="0069354B" w:rsidP="0081135D">
      <w:pPr>
        <w:numPr>
          <w:ilvl w:val="0"/>
          <w:numId w:val="8"/>
        </w:numPr>
        <w:pBdr>
          <w:top w:val="nil"/>
          <w:left w:val="nil"/>
          <w:bottom w:val="nil"/>
          <w:right w:val="nil"/>
          <w:between w:val="nil"/>
        </w:pBdr>
        <w:tabs>
          <w:tab w:val="left" w:pos="450"/>
          <w:tab w:val="left" w:pos="1458"/>
        </w:tabs>
        <w:spacing w:after="120" w:line="360" w:lineRule="auto"/>
        <w:jc w:val="both"/>
        <w:rPr>
          <w:rFonts w:ascii="Arial" w:hAnsi="Arial" w:cs="Arial"/>
          <w:color w:val="010000"/>
          <w:sz w:val="20"/>
          <w:szCs w:val="20"/>
        </w:rPr>
      </w:pPr>
      <w:r w:rsidRPr="000043B2">
        <w:rPr>
          <w:rFonts w:ascii="Arial" w:hAnsi="Arial" w:cs="Arial"/>
          <w:color w:val="010000"/>
          <w:sz w:val="20"/>
        </w:rPr>
        <w:t>Total profit before tax in 2023: VND 16,631,178,656</w:t>
      </w:r>
    </w:p>
    <w:p w14:paraId="0B327941" w14:textId="77777777" w:rsidR="00B7628A" w:rsidRPr="000043B2" w:rsidRDefault="0069354B" w:rsidP="0081135D">
      <w:pPr>
        <w:numPr>
          <w:ilvl w:val="0"/>
          <w:numId w:val="8"/>
        </w:numPr>
        <w:pBdr>
          <w:top w:val="nil"/>
          <w:left w:val="nil"/>
          <w:bottom w:val="nil"/>
          <w:right w:val="nil"/>
          <w:between w:val="nil"/>
        </w:pBdr>
        <w:tabs>
          <w:tab w:val="left" w:pos="450"/>
          <w:tab w:val="left" w:pos="1462"/>
        </w:tabs>
        <w:spacing w:after="120" w:line="360" w:lineRule="auto"/>
        <w:jc w:val="both"/>
        <w:rPr>
          <w:rFonts w:ascii="Arial" w:hAnsi="Arial" w:cs="Arial"/>
          <w:color w:val="010000"/>
          <w:sz w:val="20"/>
          <w:szCs w:val="20"/>
        </w:rPr>
      </w:pPr>
      <w:r w:rsidRPr="000043B2">
        <w:rPr>
          <w:rFonts w:ascii="Arial" w:hAnsi="Arial" w:cs="Arial"/>
          <w:color w:val="010000"/>
          <w:sz w:val="20"/>
        </w:rPr>
        <w:t>Appropriation for bonus and welfare fund: VND 1,660,000,000</w:t>
      </w:r>
    </w:p>
    <w:p w14:paraId="2A625768" w14:textId="77777777" w:rsidR="00B7628A" w:rsidRPr="000043B2" w:rsidRDefault="0069354B" w:rsidP="0081135D">
      <w:pPr>
        <w:numPr>
          <w:ilvl w:val="0"/>
          <w:numId w:val="8"/>
        </w:numPr>
        <w:pBdr>
          <w:top w:val="nil"/>
          <w:left w:val="nil"/>
          <w:bottom w:val="nil"/>
          <w:right w:val="nil"/>
          <w:between w:val="nil"/>
        </w:pBdr>
        <w:tabs>
          <w:tab w:val="left" w:pos="450"/>
          <w:tab w:val="left" w:pos="1462"/>
        </w:tabs>
        <w:spacing w:after="120" w:line="360" w:lineRule="auto"/>
        <w:jc w:val="both"/>
        <w:rPr>
          <w:rFonts w:ascii="Arial" w:hAnsi="Arial" w:cs="Arial"/>
          <w:color w:val="010000"/>
          <w:sz w:val="20"/>
          <w:szCs w:val="20"/>
        </w:rPr>
      </w:pPr>
      <w:r w:rsidRPr="000043B2">
        <w:rPr>
          <w:rFonts w:ascii="Arial" w:hAnsi="Arial" w:cs="Arial"/>
          <w:color w:val="010000"/>
          <w:sz w:val="20"/>
        </w:rPr>
        <w:lastRenderedPageBreak/>
        <w:t>Bonus for the Board of Directors and the Supervisory Board: VND 306,000,000</w:t>
      </w:r>
    </w:p>
    <w:p w14:paraId="19BFF6E1" w14:textId="77777777" w:rsidR="00B7628A" w:rsidRPr="000043B2" w:rsidRDefault="0069354B" w:rsidP="0081135D">
      <w:pPr>
        <w:numPr>
          <w:ilvl w:val="0"/>
          <w:numId w:val="8"/>
        </w:numPr>
        <w:pBdr>
          <w:top w:val="nil"/>
          <w:left w:val="nil"/>
          <w:bottom w:val="nil"/>
          <w:right w:val="nil"/>
          <w:between w:val="nil"/>
        </w:pBdr>
        <w:tabs>
          <w:tab w:val="left" w:pos="450"/>
          <w:tab w:val="left" w:pos="1458"/>
        </w:tabs>
        <w:spacing w:after="120" w:line="360" w:lineRule="auto"/>
        <w:jc w:val="both"/>
        <w:rPr>
          <w:rFonts w:ascii="Arial" w:hAnsi="Arial" w:cs="Arial"/>
          <w:color w:val="010000"/>
          <w:sz w:val="20"/>
          <w:szCs w:val="20"/>
        </w:rPr>
      </w:pPr>
      <w:r w:rsidRPr="000043B2">
        <w:rPr>
          <w:rFonts w:ascii="Arial" w:hAnsi="Arial" w:cs="Arial"/>
          <w:color w:val="010000"/>
          <w:sz w:val="20"/>
        </w:rPr>
        <w:t>Dividend payment in cash (12% of charter capital): VND 14,544,000,000</w:t>
      </w:r>
    </w:p>
    <w:p w14:paraId="746ED982" w14:textId="77777777" w:rsidR="00B7628A" w:rsidRPr="000043B2" w:rsidRDefault="0069354B" w:rsidP="0081135D">
      <w:pPr>
        <w:numPr>
          <w:ilvl w:val="0"/>
          <w:numId w:val="8"/>
        </w:numPr>
        <w:pBdr>
          <w:top w:val="nil"/>
          <w:left w:val="nil"/>
          <w:bottom w:val="nil"/>
          <w:right w:val="nil"/>
          <w:between w:val="nil"/>
        </w:pBdr>
        <w:tabs>
          <w:tab w:val="left" w:pos="450"/>
          <w:tab w:val="left" w:pos="1458"/>
        </w:tabs>
        <w:spacing w:after="120" w:line="360" w:lineRule="auto"/>
        <w:jc w:val="both"/>
        <w:rPr>
          <w:rFonts w:ascii="Arial" w:hAnsi="Arial" w:cs="Arial"/>
          <w:color w:val="010000"/>
          <w:sz w:val="20"/>
          <w:szCs w:val="20"/>
        </w:rPr>
      </w:pPr>
      <w:r w:rsidRPr="000043B2">
        <w:rPr>
          <w:rFonts w:ascii="Arial" w:hAnsi="Arial" w:cs="Arial"/>
          <w:color w:val="010000"/>
          <w:sz w:val="20"/>
        </w:rPr>
        <w:t>The remaining amount is to supplement business capital and development investment fund</w:t>
      </w:r>
    </w:p>
    <w:p w14:paraId="6F3A1B50" w14:textId="537320E7" w:rsidR="00B7628A" w:rsidRPr="000043B2" w:rsidRDefault="0069354B" w:rsidP="0081135D">
      <w:pPr>
        <w:keepNext/>
        <w:numPr>
          <w:ilvl w:val="0"/>
          <w:numId w:val="7"/>
        </w:numPr>
        <w:pBdr>
          <w:top w:val="nil"/>
          <w:left w:val="nil"/>
          <w:bottom w:val="nil"/>
          <w:right w:val="nil"/>
          <w:between w:val="nil"/>
        </w:pBdr>
        <w:tabs>
          <w:tab w:val="left" w:pos="450"/>
          <w:tab w:val="left" w:pos="1858"/>
        </w:tabs>
        <w:spacing w:after="120" w:line="360" w:lineRule="auto"/>
        <w:jc w:val="both"/>
        <w:rPr>
          <w:rFonts w:ascii="Arial" w:hAnsi="Arial" w:cs="Arial"/>
          <w:color w:val="010000"/>
          <w:sz w:val="20"/>
          <w:szCs w:val="20"/>
        </w:rPr>
      </w:pPr>
      <w:r w:rsidRPr="000043B2">
        <w:rPr>
          <w:rFonts w:ascii="Arial" w:hAnsi="Arial" w:cs="Arial"/>
          <w:color w:val="010000"/>
          <w:sz w:val="20"/>
        </w:rPr>
        <w:t xml:space="preserve">Approve the Business plan for 2024 and </w:t>
      </w:r>
      <w:r w:rsidR="00462A4F" w:rsidRPr="000043B2">
        <w:rPr>
          <w:rFonts w:ascii="Arial" w:hAnsi="Arial" w:cs="Arial"/>
          <w:color w:val="010000"/>
          <w:sz w:val="20"/>
        </w:rPr>
        <w:t xml:space="preserve">the </w:t>
      </w:r>
      <w:r w:rsidRPr="000043B2">
        <w:rPr>
          <w:rFonts w:ascii="Arial" w:hAnsi="Arial" w:cs="Arial"/>
          <w:color w:val="010000"/>
          <w:sz w:val="20"/>
        </w:rPr>
        <w:t>expected dividend rate of 2024</w:t>
      </w:r>
    </w:p>
    <w:p w14:paraId="2336B5B7" w14:textId="77777777" w:rsidR="00B7628A" w:rsidRPr="000043B2" w:rsidRDefault="0069354B" w:rsidP="0081135D">
      <w:pPr>
        <w:numPr>
          <w:ilvl w:val="0"/>
          <w:numId w:val="9"/>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0043B2">
        <w:rPr>
          <w:rFonts w:ascii="Arial" w:hAnsi="Arial" w:cs="Arial"/>
          <w:color w:val="010000"/>
          <w:sz w:val="20"/>
        </w:rPr>
        <w:t>Business plan in 2024 as follows:</w:t>
      </w:r>
    </w:p>
    <w:p w14:paraId="04E5E575" w14:textId="77777777" w:rsidR="00B7628A" w:rsidRPr="000043B2" w:rsidRDefault="0069354B" w:rsidP="0081135D">
      <w:pPr>
        <w:numPr>
          <w:ilvl w:val="0"/>
          <w:numId w:val="1"/>
        </w:numPr>
        <w:pBdr>
          <w:top w:val="nil"/>
          <w:left w:val="nil"/>
          <w:bottom w:val="nil"/>
          <w:right w:val="nil"/>
          <w:between w:val="nil"/>
        </w:pBdr>
        <w:tabs>
          <w:tab w:val="left" w:pos="450"/>
          <w:tab w:val="left" w:pos="1558"/>
          <w:tab w:val="left" w:pos="4648"/>
        </w:tabs>
        <w:spacing w:after="120" w:line="360" w:lineRule="auto"/>
        <w:jc w:val="both"/>
        <w:rPr>
          <w:rFonts w:ascii="Arial" w:hAnsi="Arial" w:cs="Arial"/>
          <w:color w:val="010000"/>
          <w:sz w:val="20"/>
          <w:szCs w:val="20"/>
        </w:rPr>
      </w:pPr>
      <w:r w:rsidRPr="000043B2">
        <w:rPr>
          <w:rFonts w:ascii="Arial" w:hAnsi="Arial" w:cs="Arial"/>
          <w:color w:val="010000"/>
          <w:sz w:val="20"/>
        </w:rPr>
        <w:t>Revenue: VND 160 billion.</w:t>
      </w:r>
    </w:p>
    <w:p w14:paraId="02A060EC" w14:textId="77777777" w:rsidR="00B7628A" w:rsidRPr="000043B2" w:rsidRDefault="0069354B" w:rsidP="0081135D">
      <w:pPr>
        <w:numPr>
          <w:ilvl w:val="0"/>
          <w:numId w:val="1"/>
        </w:numPr>
        <w:pBdr>
          <w:top w:val="nil"/>
          <w:left w:val="nil"/>
          <w:bottom w:val="nil"/>
          <w:right w:val="nil"/>
          <w:between w:val="nil"/>
        </w:pBdr>
        <w:tabs>
          <w:tab w:val="left" w:pos="450"/>
          <w:tab w:val="left" w:pos="1558"/>
          <w:tab w:val="left" w:pos="4648"/>
        </w:tabs>
        <w:spacing w:after="120" w:line="360" w:lineRule="auto"/>
        <w:jc w:val="both"/>
        <w:rPr>
          <w:rFonts w:ascii="Arial" w:hAnsi="Arial" w:cs="Arial"/>
          <w:color w:val="010000"/>
          <w:sz w:val="20"/>
          <w:szCs w:val="20"/>
        </w:rPr>
      </w:pPr>
      <w:r w:rsidRPr="000043B2">
        <w:rPr>
          <w:rFonts w:ascii="Arial" w:hAnsi="Arial" w:cs="Arial"/>
          <w:color w:val="010000"/>
          <w:sz w:val="20"/>
        </w:rPr>
        <w:t>Profit before tax: VND 16.5 billion</w:t>
      </w:r>
    </w:p>
    <w:p w14:paraId="5DB2DFAD" w14:textId="77777777" w:rsidR="00B7628A" w:rsidRPr="000043B2" w:rsidRDefault="0069354B" w:rsidP="0081135D">
      <w:pPr>
        <w:numPr>
          <w:ilvl w:val="0"/>
          <w:numId w:val="9"/>
        </w:numPr>
        <w:pBdr>
          <w:top w:val="nil"/>
          <w:left w:val="nil"/>
          <w:bottom w:val="nil"/>
          <w:right w:val="nil"/>
          <w:between w:val="nil"/>
        </w:pBdr>
        <w:tabs>
          <w:tab w:val="left" w:pos="450"/>
          <w:tab w:val="left" w:pos="2214"/>
        </w:tabs>
        <w:spacing w:after="120" w:line="360" w:lineRule="auto"/>
        <w:ind w:left="0" w:firstLine="0"/>
        <w:jc w:val="both"/>
        <w:rPr>
          <w:rFonts w:ascii="Arial" w:eastAsia="Arial" w:hAnsi="Arial" w:cs="Arial"/>
          <w:color w:val="010000"/>
          <w:sz w:val="20"/>
          <w:szCs w:val="20"/>
        </w:rPr>
      </w:pPr>
      <w:r w:rsidRPr="000043B2">
        <w:rPr>
          <w:rFonts w:ascii="Arial" w:hAnsi="Arial" w:cs="Arial"/>
          <w:color w:val="010000"/>
          <w:sz w:val="20"/>
        </w:rPr>
        <w:t>Expected dividend payment rate in 2024:</w:t>
      </w:r>
    </w:p>
    <w:p w14:paraId="323BD48E" w14:textId="77777777"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Expected dividend payment rate in 2024: 10% of charter capital.</w:t>
      </w:r>
    </w:p>
    <w:p w14:paraId="4E514A81" w14:textId="2610DE4B" w:rsidR="00B7628A" w:rsidRPr="000043B2" w:rsidRDefault="0069354B" w:rsidP="0081135D">
      <w:pPr>
        <w:keepNext/>
        <w:numPr>
          <w:ilvl w:val="0"/>
          <w:numId w:val="7"/>
        </w:numPr>
        <w:pBdr>
          <w:top w:val="nil"/>
          <w:left w:val="nil"/>
          <w:bottom w:val="nil"/>
          <w:right w:val="nil"/>
          <w:between w:val="nil"/>
        </w:pBdr>
        <w:tabs>
          <w:tab w:val="left" w:pos="450"/>
          <w:tab w:val="left" w:pos="1854"/>
        </w:tabs>
        <w:spacing w:after="120" w:line="360" w:lineRule="auto"/>
        <w:jc w:val="both"/>
        <w:rPr>
          <w:rFonts w:ascii="Arial" w:hAnsi="Arial" w:cs="Arial"/>
          <w:color w:val="010000"/>
          <w:sz w:val="20"/>
          <w:szCs w:val="20"/>
        </w:rPr>
      </w:pPr>
      <w:r w:rsidRPr="000043B2">
        <w:rPr>
          <w:rFonts w:ascii="Arial" w:hAnsi="Arial" w:cs="Arial"/>
          <w:color w:val="010000"/>
          <w:sz w:val="20"/>
        </w:rPr>
        <w:t xml:space="preserve">Approve the selection of an independent audit company to audit the </w:t>
      </w:r>
      <w:r w:rsidR="00462A4F" w:rsidRPr="000043B2">
        <w:rPr>
          <w:rFonts w:ascii="Arial" w:hAnsi="Arial" w:cs="Arial"/>
          <w:color w:val="010000"/>
          <w:sz w:val="20"/>
        </w:rPr>
        <w:t>Financial Statement</w:t>
      </w:r>
      <w:r w:rsidR="00462A4F" w:rsidRPr="000043B2">
        <w:rPr>
          <w:rFonts w:ascii="Arial" w:hAnsi="Arial" w:cs="Arial" w:hint="eastAsia"/>
          <w:color w:val="010000"/>
          <w:sz w:val="20"/>
        </w:rPr>
        <w:t xml:space="preserve">s </w:t>
      </w:r>
      <w:r w:rsidR="00462A4F" w:rsidRPr="000043B2">
        <w:rPr>
          <w:rFonts w:ascii="Arial" w:hAnsi="Arial" w:cs="Arial"/>
          <w:color w:val="010000"/>
          <w:sz w:val="20"/>
        </w:rPr>
        <w:t>2024</w:t>
      </w:r>
      <w:r w:rsidRPr="000043B2">
        <w:rPr>
          <w:rFonts w:ascii="Arial" w:hAnsi="Arial" w:cs="Arial"/>
          <w:color w:val="010000"/>
          <w:sz w:val="20"/>
        </w:rPr>
        <w:t>.</w:t>
      </w:r>
    </w:p>
    <w:p w14:paraId="1FA415E0" w14:textId="53010D45"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The General Meeting of Shareholders authorizes the Board of Directors, based on the quality of services and audit fees, to select a reputable independent auditing company licensed to operate in Vietnam, approved by the State Securities Commission to audit issu</w:t>
      </w:r>
      <w:r w:rsidR="007E2F1E" w:rsidRPr="000043B2">
        <w:rPr>
          <w:rFonts w:ascii="Arial" w:hAnsi="Arial" w:cs="Arial" w:hint="eastAsia"/>
          <w:color w:val="010000"/>
          <w:sz w:val="20"/>
        </w:rPr>
        <w:t>ers</w:t>
      </w:r>
      <w:r w:rsidRPr="000043B2">
        <w:rPr>
          <w:rFonts w:ascii="Arial" w:hAnsi="Arial" w:cs="Arial"/>
          <w:color w:val="010000"/>
          <w:sz w:val="20"/>
        </w:rPr>
        <w:t xml:space="preserve"> and listed organizations to audit the Company's </w:t>
      </w:r>
      <w:r w:rsidR="00462A4F" w:rsidRPr="000043B2">
        <w:rPr>
          <w:rFonts w:ascii="Arial" w:hAnsi="Arial" w:cs="Arial"/>
          <w:color w:val="010000"/>
          <w:sz w:val="20"/>
        </w:rPr>
        <w:t>Financial Statements</w:t>
      </w:r>
      <w:r w:rsidR="007E2F1E" w:rsidRPr="000043B2">
        <w:rPr>
          <w:rFonts w:ascii="Arial" w:hAnsi="Arial" w:cs="Arial" w:hint="eastAsia"/>
          <w:color w:val="010000"/>
          <w:sz w:val="20"/>
        </w:rPr>
        <w:t xml:space="preserve"> </w:t>
      </w:r>
      <w:r w:rsidR="007E2F1E" w:rsidRPr="000043B2">
        <w:rPr>
          <w:rFonts w:ascii="Arial" w:hAnsi="Arial" w:cs="Arial"/>
          <w:color w:val="010000"/>
          <w:sz w:val="20"/>
        </w:rPr>
        <w:t>2024</w:t>
      </w:r>
      <w:r w:rsidRPr="000043B2">
        <w:rPr>
          <w:rFonts w:ascii="Arial" w:hAnsi="Arial" w:cs="Arial"/>
          <w:color w:val="010000"/>
          <w:sz w:val="20"/>
        </w:rPr>
        <w:t>.</w:t>
      </w:r>
    </w:p>
    <w:p w14:paraId="014118A9" w14:textId="77777777" w:rsidR="00B7628A" w:rsidRPr="000043B2" w:rsidRDefault="0069354B" w:rsidP="0081135D">
      <w:pPr>
        <w:numPr>
          <w:ilvl w:val="0"/>
          <w:numId w:val="7"/>
        </w:numPr>
        <w:pBdr>
          <w:top w:val="nil"/>
          <w:left w:val="nil"/>
          <w:bottom w:val="nil"/>
          <w:right w:val="nil"/>
          <w:between w:val="nil"/>
        </w:pBdr>
        <w:tabs>
          <w:tab w:val="left" w:pos="450"/>
          <w:tab w:val="left" w:pos="1878"/>
        </w:tabs>
        <w:spacing w:after="120" w:line="360" w:lineRule="auto"/>
        <w:jc w:val="both"/>
        <w:rPr>
          <w:rFonts w:ascii="Arial" w:hAnsi="Arial" w:cs="Arial"/>
          <w:color w:val="010000"/>
          <w:sz w:val="20"/>
          <w:szCs w:val="20"/>
        </w:rPr>
      </w:pPr>
      <w:r w:rsidRPr="000043B2">
        <w:rPr>
          <w:rFonts w:ascii="Arial" w:hAnsi="Arial" w:cs="Arial"/>
          <w:color w:val="010000"/>
          <w:sz w:val="20"/>
        </w:rPr>
        <w:t>Election results of the Board of Directors and Supervisory Board of Green Development and Investment Service Joint Stock Company for the term 2024-2027, specifically as follows:</w:t>
      </w:r>
    </w:p>
    <w:p w14:paraId="395BCD42" w14:textId="77777777" w:rsidR="00B7628A" w:rsidRPr="000043B2" w:rsidRDefault="0069354B" w:rsidP="0081135D">
      <w:pPr>
        <w:numPr>
          <w:ilvl w:val="0"/>
          <w:numId w:val="2"/>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0043B2">
        <w:rPr>
          <w:rFonts w:ascii="Arial" w:hAnsi="Arial" w:cs="Arial"/>
          <w:color w:val="010000"/>
          <w:sz w:val="20"/>
        </w:rPr>
        <w:t>The Company's Board of Directors for a 3-year term (term 2024-2027) includes 05 members:</w:t>
      </w:r>
    </w:p>
    <w:p w14:paraId="11DE29DB" w14:textId="77777777" w:rsidR="00B7628A" w:rsidRPr="000043B2" w:rsidRDefault="0069354B" w:rsidP="0081135D">
      <w:pPr>
        <w:numPr>
          <w:ilvl w:val="0"/>
          <w:numId w:val="4"/>
        </w:numPr>
        <w:pBdr>
          <w:top w:val="nil"/>
          <w:left w:val="nil"/>
          <w:bottom w:val="nil"/>
          <w:right w:val="nil"/>
          <w:between w:val="nil"/>
        </w:pBdr>
        <w:tabs>
          <w:tab w:val="left" w:pos="450"/>
          <w:tab w:val="left" w:pos="2530"/>
        </w:tabs>
        <w:spacing w:after="120" w:line="360" w:lineRule="auto"/>
        <w:jc w:val="both"/>
        <w:rPr>
          <w:rFonts w:ascii="Arial" w:hAnsi="Arial" w:cs="Arial"/>
          <w:color w:val="010000"/>
          <w:sz w:val="20"/>
          <w:szCs w:val="20"/>
        </w:rPr>
      </w:pPr>
      <w:r w:rsidRPr="000043B2">
        <w:rPr>
          <w:rFonts w:ascii="Arial" w:hAnsi="Arial" w:cs="Arial"/>
          <w:color w:val="010000"/>
          <w:sz w:val="20"/>
        </w:rPr>
        <w:t>Mr. Nguyen Duc Dung</w:t>
      </w:r>
    </w:p>
    <w:p w14:paraId="12F88370" w14:textId="77777777" w:rsidR="00B7628A" w:rsidRPr="000043B2" w:rsidRDefault="0069354B" w:rsidP="0081135D">
      <w:pPr>
        <w:numPr>
          <w:ilvl w:val="0"/>
          <w:numId w:val="4"/>
        </w:numPr>
        <w:pBdr>
          <w:top w:val="nil"/>
          <w:left w:val="nil"/>
          <w:bottom w:val="nil"/>
          <w:right w:val="nil"/>
          <w:between w:val="nil"/>
        </w:pBdr>
        <w:tabs>
          <w:tab w:val="left" w:pos="450"/>
          <w:tab w:val="left" w:pos="2563"/>
        </w:tabs>
        <w:spacing w:after="120" w:line="360" w:lineRule="auto"/>
        <w:jc w:val="both"/>
        <w:rPr>
          <w:rFonts w:ascii="Arial" w:hAnsi="Arial" w:cs="Arial"/>
          <w:color w:val="010000"/>
          <w:sz w:val="20"/>
          <w:szCs w:val="20"/>
        </w:rPr>
      </w:pPr>
      <w:r w:rsidRPr="000043B2">
        <w:rPr>
          <w:rFonts w:ascii="Arial" w:hAnsi="Arial" w:cs="Arial"/>
          <w:color w:val="010000"/>
          <w:sz w:val="20"/>
        </w:rPr>
        <w:t xml:space="preserve">Mr. Nguyen The </w:t>
      </w:r>
      <w:proofErr w:type="spellStart"/>
      <w:r w:rsidRPr="000043B2">
        <w:rPr>
          <w:rFonts w:ascii="Arial" w:hAnsi="Arial" w:cs="Arial"/>
          <w:color w:val="010000"/>
          <w:sz w:val="20"/>
        </w:rPr>
        <w:t>Trong</w:t>
      </w:r>
      <w:proofErr w:type="spellEnd"/>
    </w:p>
    <w:p w14:paraId="62D72119" w14:textId="77777777" w:rsidR="00B7628A" w:rsidRPr="000043B2" w:rsidRDefault="0069354B" w:rsidP="0081135D">
      <w:pPr>
        <w:numPr>
          <w:ilvl w:val="0"/>
          <w:numId w:val="4"/>
        </w:numPr>
        <w:pBdr>
          <w:top w:val="nil"/>
          <w:left w:val="nil"/>
          <w:bottom w:val="nil"/>
          <w:right w:val="nil"/>
          <w:between w:val="nil"/>
        </w:pBdr>
        <w:tabs>
          <w:tab w:val="left" w:pos="450"/>
          <w:tab w:val="left" w:pos="2563"/>
        </w:tabs>
        <w:spacing w:after="120" w:line="360" w:lineRule="auto"/>
        <w:jc w:val="both"/>
        <w:rPr>
          <w:rFonts w:ascii="Arial" w:hAnsi="Arial" w:cs="Arial"/>
          <w:color w:val="010000"/>
          <w:sz w:val="20"/>
          <w:szCs w:val="20"/>
        </w:rPr>
      </w:pPr>
      <w:r w:rsidRPr="000043B2">
        <w:rPr>
          <w:rFonts w:ascii="Arial" w:hAnsi="Arial" w:cs="Arial"/>
          <w:color w:val="010000"/>
          <w:sz w:val="20"/>
        </w:rPr>
        <w:t xml:space="preserve">Mr. Nguyen Kim Duong </w:t>
      </w:r>
      <w:proofErr w:type="spellStart"/>
      <w:r w:rsidRPr="000043B2">
        <w:rPr>
          <w:rFonts w:ascii="Arial" w:hAnsi="Arial" w:cs="Arial"/>
          <w:color w:val="010000"/>
          <w:sz w:val="20"/>
        </w:rPr>
        <w:t>Khoi</w:t>
      </w:r>
      <w:proofErr w:type="spellEnd"/>
    </w:p>
    <w:p w14:paraId="721DABDF" w14:textId="77777777" w:rsidR="00B7628A" w:rsidRPr="000043B2" w:rsidRDefault="0069354B" w:rsidP="0081135D">
      <w:pPr>
        <w:numPr>
          <w:ilvl w:val="0"/>
          <w:numId w:val="4"/>
        </w:numPr>
        <w:pBdr>
          <w:top w:val="nil"/>
          <w:left w:val="nil"/>
          <w:bottom w:val="nil"/>
          <w:right w:val="nil"/>
          <w:between w:val="nil"/>
        </w:pBdr>
        <w:tabs>
          <w:tab w:val="left" w:pos="450"/>
          <w:tab w:val="left" w:pos="2563"/>
        </w:tabs>
        <w:spacing w:after="120" w:line="360" w:lineRule="auto"/>
        <w:jc w:val="both"/>
        <w:rPr>
          <w:rFonts w:ascii="Arial" w:hAnsi="Arial" w:cs="Arial"/>
          <w:color w:val="010000"/>
          <w:sz w:val="20"/>
          <w:szCs w:val="20"/>
        </w:rPr>
      </w:pPr>
      <w:r w:rsidRPr="000043B2">
        <w:rPr>
          <w:rFonts w:ascii="Arial" w:hAnsi="Arial" w:cs="Arial"/>
          <w:color w:val="010000"/>
          <w:sz w:val="20"/>
        </w:rPr>
        <w:t xml:space="preserve">Mr. Dong </w:t>
      </w:r>
      <w:proofErr w:type="spellStart"/>
      <w:r w:rsidRPr="000043B2">
        <w:rPr>
          <w:rFonts w:ascii="Arial" w:hAnsi="Arial" w:cs="Arial"/>
          <w:color w:val="010000"/>
          <w:sz w:val="20"/>
        </w:rPr>
        <w:t>Trung</w:t>
      </w:r>
      <w:proofErr w:type="spellEnd"/>
      <w:r w:rsidRPr="000043B2">
        <w:rPr>
          <w:rFonts w:ascii="Arial" w:hAnsi="Arial" w:cs="Arial"/>
          <w:color w:val="010000"/>
          <w:sz w:val="20"/>
        </w:rPr>
        <w:t xml:space="preserve"> Hai</w:t>
      </w:r>
    </w:p>
    <w:p w14:paraId="77578A83" w14:textId="77777777" w:rsidR="00B7628A" w:rsidRPr="000043B2" w:rsidRDefault="0069354B" w:rsidP="0081135D">
      <w:pPr>
        <w:numPr>
          <w:ilvl w:val="0"/>
          <w:numId w:val="4"/>
        </w:numPr>
        <w:pBdr>
          <w:top w:val="nil"/>
          <w:left w:val="nil"/>
          <w:bottom w:val="nil"/>
          <w:right w:val="nil"/>
          <w:between w:val="nil"/>
        </w:pBdr>
        <w:tabs>
          <w:tab w:val="left" w:pos="450"/>
          <w:tab w:val="left" w:pos="2554"/>
        </w:tabs>
        <w:spacing w:after="120" w:line="360" w:lineRule="auto"/>
        <w:jc w:val="both"/>
        <w:rPr>
          <w:rFonts w:ascii="Arial" w:hAnsi="Arial" w:cs="Arial"/>
          <w:color w:val="010000"/>
          <w:sz w:val="20"/>
          <w:szCs w:val="20"/>
        </w:rPr>
      </w:pPr>
      <w:r w:rsidRPr="000043B2">
        <w:rPr>
          <w:rFonts w:ascii="Arial" w:hAnsi="Arial" w:cs="Arial"/>
          <w:color w:val="010000"/>
          <w:sz w:val="20"/>
        </w:rPr>
        <w:t>Ms. Tran Thi Phuong Anh</w:t>
      </w:r>
    </w:p>
    <w:p w14:paraId="7469B135" w14:textId="6394A566" w:rsidR="00B7628A" w:rsidRPr="000043B2" w:rsidRDefault="0069354B" w:rsidP="0081135D">
      <w:pPr>
        <w:numPr>
          <w:ilvl w:val="0"/>
          <w:numId w:val="2"/>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0043B2">
        <w:rPr>
          <w:rFonts w:ascii="Arial" w:hAnsi="Arial" w:cs="Arial"/>
          <w:color w:val="010000"/>
          <w:sz w:val="20"/>
        </w:rPr>
        <w:t xml:space="preserve">The Company's Supervisory Board </w:t>
      </w:r>
      <w:r w:rsidR="000043B2" w:rsidRPr="000043B2">
        <w:rPr>
          <w:rFonts w:ascii="Arial" w:hAnsi="Arial" w:cs="Arial"/>
          <w:color w:val="010000"/>
          <w:sz w:val="20"/>
        </w:rPr>
        <w:t>for a 3-year term</w:t>
      </w:r>
      <w:r w:rsidRPr="000043B2">
        <w:rPr>
          <w:rFonts w:ascii="Arial" w:hAnsi="Arial" w:cs="Arial"/>
          <w:color w:val="010000"/>
          <w:sz w:val="20"/>
        </w:rPr>
        <w:t xml:space="preserve"> (term 2024-2027) </w:t>
      </w:r>
      <w:r w:rsidR="000043B2" w:rsidRPr="000043B2">
        <w:rPr>
          <w:rFonts w:ascii="Arial" w:hAnsi="Arial" w:cs="Arial"/>
          <w:color w:val="010000"/>
          <w:sz w:val="20"/>
        </w:rPr>
        <w:t xml:space="preserve">includes </w:t>
      </w:r>
      <w:r w:rsidRPr="000043B2">
        <w:rPr>
          <w:rFonts w:ascii="Arial" w:hAnsi="Arial" w:cs="Arial"/>
          <w:color w:val="010000"/>
          <w:sz w:val="20"/>
        </w:rPr>
        <w:t>03 members</w:t>
      </w:r>
    </w:p>
    <w:p w14:paraId="09AD7153" w14:textId="77777777" w:rsidR="00B7628A" w:rsidRPr="000043B2" w:rsidRDefault="0069354B" w:rsidP="0081135D">
      <w:pPr>
        <w:numPr>
          <w:ilvl w:val="0"/>
          <w:numId w:val="6"/>
        </w:numPr>
        <w:pBdr>
          <w:top w:val="nil"/>
          <w:left w:val="nil"/>
          <w:bottom w:val="nil"/>
          <w:right w:val="nil"/>
          <w:between w:val="nil"/>
        </w:pBdr>
        <w:tabs>
          <w:tab w:val="left" w:pos="450"/>
          <w:tab w:val="left" w:pos="2528"/>
        </w:tabs>
        <w:spacing w:after="120" w:line="360" w:lineRule="auto"/>
        <w:jc w:val="both"/>
        <w:rPr>
          <w:rFonts w:ascii="Arial" w:hAnsi="Arial" w:cs="Arial"/>
          <w:color w:val="010000"/>
          <w:sz w:val="20"/>
          <w:szCs w:val="20"/>
        </w:rPr>
      </w:pPr>
      <w:r w:rsidRPr="000043B2">
        <w:rPr>
          <w:rFonts w:ascii="Arial" w:hAnsi="Arial" w:cs="Arial"/>
          <w:color w:val="010000"/>
          <w:sz w:val="20"/>
        </w:rPr>
        <w:t>Ms. Nghiem Thi Thuy Duong</w:t>
      </w:r>
    </w:p>
    <w:p w14:paraId="5DE13E0A" w14:textId="77777777" w:rsidR="00B7628A" w:rsidRPr="000043B2" w:rsidRDefault="0069354B" w:rsidP="0081135D">
      <w:pPr>
        <w:numPr>
          <w:ilvl w:val="0"/>
          <w:numId w:val="6"/>
        </w:numPr>
        <w:pBdr>
          <w:top w:val="nil"/>
          <w:left w:val="nil"/>
          <w:bottom w:val="nil"/>
          <w:right w:val="nil"/>
          <w:between w:val="nil"/>
        </w:pBdr>
        <w:tabs>
          <w:tab w:val="left" w:pos="450"/>
          <w:tab w:val="left" w:pos="2563"/>
        </w:tabs>
        <w:spacing w:after="120" w:line="360" w:lineRule="auto"/>
        <w:jc w:val="both"/>
        <w:rPr>
          <w:rFonts w:ascii="Arial" w:hAnsi="Arial" w:cs="Arial"/>
          <w:color w:val="010000"/>
          <w:sz w:val="20"/>
          <w:szCs w:val="20"/>
        </w:rPr>
      </w:pPr>
      <w:r w:rsidRPr="000043B2">
        <w:rPr>
          <w:rFonts w:ascii="Arial" w:hAnsi="Arial" w:cs="Arial"/>
          <w:color w:val="010000"/>
          <w:sz w:val="20"/>
        </w:rPr>
        <w:t>Ms. Pham Thi Thuy Ngoc</w:t>
      </w:r>
    </w:p>
    <w:p w14:paraId="2515EB03" w14:textId="77777777" w:rsidR="00B7628A" w:rsidRPr="000043B2" w:rsidRDefault="0069354B" w:rsidP="0081135D">
      <w:pPr>
        <w:numPr>
          <w:ilvl w:val="0"/>
          <w:numId w:val="6"/>
        </w:numPr>
        <w:pBdr>
          <w:top w:val="nil"/>
          <w:left w:val="nil"/>
          <w:bottom w:val="nil"/>
          <w:right w:val="nil"/>
          <w:between w:val="nil"/>
        </w:pBdr>
        <w:tabs>
          <w:tab w:val="left" w:pos="450"/>
          <w:tab w:val="left" w:pos="2558"/>
        </w:tabs>
        <w:spacing w:after="120" w:line="360" w:lineRule="auto"/>
        <w:jc w:val="both"/>
        <w:rPr>
          <w:rFonts w:ascii="Arial" w:hAnsi="Arial" w:cs="Arial"/>
          <w:color w:val="010000"/>
          <w:sz w:val="20"/>
          <w:szCs w:val="20"/>
        </w:rPr>
      </w:pPr>
      <w:r w:rsidRPr="000043B2">
        <w:rPr>
          <w:rFonts w:ascii="Arial" w:hAnsi="Arial" w:cs="Arial"/>
          <w:color w:val="010000"/>
          <w:sz w:val="20"/>
        </w:rPr>
        <w:t xml:space="preserve">Ms. Phan Thi </w:t>
      </w:r>
      <w:proofErr w:type="spellStart"/>
      <w:r w:rsidRPr="000043B2">
        <w:rPr>
          <w:rFonts w:ascii="Arial" w:hAnsi="Arial" w:cs="Arial"/>
          <w:color w:val="010000"/>
          <w:sz w:val="20"/>
        </w:rPr>
        <w:t>Trung</w:t>
      </w:r>
      <w:proofErr w:type="spellEnd"/>
      <w:r w:rsidRPr="000043B2">
        <w:rPr>
          <w:rFonts w:ascii="Arial" w:hAnsi="Arial" w:cs="Arial"/>
          <w:color w:val="010000"/>
          <w:sz w:val="20"/>
        </w:rPr>
        <w:t xml:space="preserve"> </w:t>
      </w:r>
      <w:proofErr w:type="spellStart"/>
      <w:r w:rsidRPr="000043B2">
        <w:rPr>
          <w:rFonts w:ascii="Arial" w:hAnsi="Arial" w:cs="Arial"/>
          <w:color w:val="010000"/>
          <w:sz w:val="20"/>
        </w:rPr>
        <w:t>Hieu</w:t>
      </w:r>
      <w:proofErr w:type="spellEnd"/>
    </w:p>
    <w:p w14:paraId="54E5A2B6" w14:textId="418E30F3" w:rsidR="00B7628A" w:rsidRPr="000043B2" w:rsidRDefault="0069354B" w:rsidP="0081135D">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0043B2">
        <w:rPr>
          <w:rFonts w:ascii="Arial" w:hAnsi="Arial" w:cs="Arial"/>
          <w:color w:val="010000"/>
          <w:sz w:val="20"/>
        </w:rPr>
        <w:t xml:space="preserve">‎‎Article 2. This </w:t>
      </w:r>
      <w:r w:rsidR="007E2F1E" w:rsidRPr="000043B2">
        <w:rPr>
          <w:rFonts w:ascii="Arial" w:hAnsi="Arial" w:cs="Arial" w:hint="eastAsia"/>
          <w:color w:val="010000"/>
          <w:sz w:val="20"/>
        </w:rPr>
        <w:t>General Mandate</w:t>
      </w:r>
      <w:r w:rsidRPr="000043B2">
        <w:rPr>
          <w:rFonts w:ascii="Arial" w:hAnsi="Arial" w:cs="Arial"/>
          <w:color w:val="010000"/>
          <w:sz w:val="20"/>
        </w:rPr>
        <w:t xml:space="preserve"> has been approved by the Annual General Meeting of Shareholders 2024 of Green Development and Investment Service Joint Stock Company and takes effect on the date of its signing. Assign the Board of Directors of the Company based on the above contents to strictly comply with the current provisions of the law and the Company's Charter.</w:t>
      </w:r>
      <w:bookmarkStart w:id="0" w:name="_GoBack"/>
      <w:bookmarkEnd w:id="0"/>
    </w:p>
    <w:sectPr w:rsidR="00B7628A" w:rsidRPr="000043B2" w:rsidSect="0069354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E35"/>
    <w:multiLevelType w:val="multilevel"/>
    <w:tmpl w:val="D8EC7528"/>
    <w:lvl w:ilvl="0">
      <w:start w:val="1"/>
      <w:numFmt w:val="lowerLetter"/>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BA0F0E"/>
    <w:multiLevelType w:val="multilevel"/>
    <w:tmpl w:val="5FF8346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9350442"/>
    <w:multiLevelType w:val="multilevel"/>
    <w:tmpl w:val="1B3AC0B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D6F2D74"/>
    <w:multiLevelType w:val="hybridMultilevel"/>
    <w:tmpl w:val="F38E3E02"/>
    <w:lvl w:ilvl="0" w:tplc="0A72FC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E1506"/>
    <w:multiLevelType w:val="multilevel"/>
    <w:tmpl w:val="75BAFE6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10D712D"/>
    <w:multiLevelType w:val="multilevel"/>
    <w:tmpl w:val="2BC6D8B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B6843FE"/>
    <w:multiLevelType w:val="multilevel"/>
    <w:tmpl w:val="53FA146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F40354"/>
    <w:multiLevelType w:val="multilevel"/>
    <w:tmpl w:val="B3A43E4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9521BBE"/>
    <w:multiLevelType w:val="multilevel"/>
    <w:tmpl w:val="155A9FD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D776B0A"/>
    <w:multiLevelType w:val="multilevel"/>
    <w:tmpl w:val="57C6D36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6"/>
  </w:num>
  <w:num w:numId="3">
    <w:abstractNumId w:val="5"/>
  </w:num>
  <w:num w:numId="4">
    <w:abstractNumId w:val="9"/>
  </w:num>
  <w:num w:numId="5">
    <w:abstractNumId w:val="1"/>
  </w:num>
  <w:num w:numId="6">
    <w:abstractNumId w:val="2"/>
  </w:num>
  <w:num w:numId="7">
    <w:abstractNumId w:val="8"/>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8A"/>
    <w:rsid w:val="000043B2"/>
    <w:rsid w:val="001C3D6F"/>
    <w:rsid w:val="003D3157"/>
    <w:rsid w:val="00462A4F"/>
    <w:rsid w:val="0069354B"/>
    <w:rsid w:val="007E2F1E"/>
    <w:rsid w:val="0081135D"/>
    <w:rsid w:val="00B762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AF3B0"/>
  <w15:docId w15:val="{A36159E3-449A-4491-B105-CF2BE8CB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EastAsia"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0"/>
      <w:szCs w:val="1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28"/>
      <w:szCs w:val="28"/>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2"/>
      <w:szCs w:val="32"/>
      <w:u w:val="none"/>
    </w:rPr>
  </w:style>
  <w:style w:type="character" w:customStyle="1" w:styleId="Heading50">
    <w:name w:val="Heading #5_"/>
    <w:basedOn w:val="DefaultParagraphFont"/>
    <w:link w:val="Heading51"/>
    <w:rPr>
      <w:rFonts w:ascii="Times New Roman" w:eastAsia="Times New Roman" w:hAnsi="Times New Roman" w:cs="Times New Roman"/>
      <w:b/>
      <w:bCs/>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Heading40">
    <w:name w:val="Heading #4_"/>
    <w:basedOn w:val="DefaultParagraphFont"/>
    <w:link w:val="Heading41"/>
    <w:rPr>
      <w:rFonts w:ascii="Arial" w:eastAsia="Arial" w:hAnsi="Arial" w:cs="Arial"/>
      <w:b w:val="0"/>
      <w:bCs w:val="0"/>
      <w:i w:val="0"/>
      <w:iCs w:val="0"/>
      <w:smallCaps w:val="0"/>
      <w:strike w:val="0"/>
      <w:sz w:val="28"/>
      <w:szCs w:val="28"/>
      <w:u w:val="none"/>
    </w:rPr>
  </w:style>
  <w:style w:type="character" w:customStyle="1" w:styleId="Bodytext5">
    <w:name w:val="Body text (5)_"/>
    <w:basedOn w:val="DefaultParagraphFont"/>
    <w:link w:val="Bodytext50"/>
    <w:rPr>
      <w:rFonts w:ascii="Arial" w:eastAsia="Arial" w:hAnsi="Arial" w:cs="Arial"/>
      <w:b/>
      <w:bCs/>
      <w:i w:val="0"/>
      <w:iCs w:val="0"/>
      <w:smallCaps w:val="0"/>
      <w:strike w:val="0"/>
      <w:color w:val="F12E5E"/>
      <w:w w:val="70"/>
      <w:sz w:val="20"/>
      <w:szCs w:val="2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8"/>
      <w:szCs w:val="18"/>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18"/>
      <w:szCs w:val="18"/>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8"/>
      <w:szCs w:val="28"/>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color w:val="F12E5E"/>
      <w:sz w:val="16"/>
      <w:szCs w:val="16"/>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6"/>
      <w:szCs w:val="16"/>
      <w:u w:val="none"/>
    </w:rPr>
  </w:style>
  <w:style w:type="character" w:customStyle="1" w:styleId="Bodytext9">
    <w:name w:val="Body text (9)_"/>
    <w:basedOn w:val="DefaultParagraphFont"/>
    <w:link w:val="Bodytext90"/>
    <w:rPr>
      <w:rFonts w:ascii="Arial" w:eastAsia="Arial" w:hAnsi="Arial" w:cs="Arial"/>
      <w:b w:val="0"/>
      <w:bCs w:val="0"/>
      <w:i w:val="0"/>
      <w:iCs w:val="0"/>
      <w:smallCaps/>
      <w:strike w:val="0"/>
      <w:color w:val="F12E5E"/>
      <w:sz w:val="26"/>
      <w:szCs w:val="26"/>
      <w:u w:val="none"/>
    </w:rPr>
  </w:style>
  <w:style w:type="paragraph" w:customStyle="1" w:styleId="Bodytext30">
    <w:name w:val="Body text (3)"/>
    <w:basedOn w:val="Normal"/>
    <w:link w:val="Bodytext3"/>
    <w:rPr>
      <w:rFonts w:ascii="Arial" w:eastAsia="Arial" w:hAnsi="Arial" w:cs="Arial"/>
      <w:sz w:val="10"/>
      <w:szCs w:val="10"/>
    </w:rPr>
  </w:style>
  <w:style w:type="paragraph" w:styleId="BodyText">
    <w:name w:val="Body Text"/>
    <w:basedOn w:val="Normal"/>
    <w:link w:val="BodyTextChar"/>
    <w:qFormat/>
    <w:pPr>
      <w:spacing w:line="314" w:lineRule="auto"/>
      <w:ind w:firstLine="400"/>
    </w:pPr>
    <w:rPr>
      <w:rFonts w:ascii="Times New Roman" w:eastAsia="Times New Roman" w:hAnsi="Times New Roman" w:cs="Times New Roman"/>
      <w:sz w:val="22"/>
      <w:szCs w:val="22"/>
    </w:rPr>
  </w:style>
  <w:style w:type="paragraph" w:customStyle="1" w:styleId="Heading31">
    <w:name w:val="Heading #3"/>
    <w:basedOn w:val="Normal"/>
    <w:link w:val="Heading30"/>
    <w:pPr>
      <w:spacing w:line="269" w:lineRule="auto"/>
      <w:jc w:val="center"/>
      <w:outlineLvl w:val="2"/>
    </w:pPr>
    <w:rPr>
      <w:rFonts w:ascii="Times New Roman" w:eastAsia="Times New Roman" w:hAnsi="Times New Roman" w:cs="Times New Roman"/>
      <w:b/>
      <w:bCs/>
      <w:sz w:val="28"/>
      <w:szCs w:val="28"/>
    </w:rPr>
  </w:style>
  <w:style w:type="paragraph" w:customStyle="1" w:styleId="Heading11">
    <w:name w:val="Heading #1"/>
    <w:basedOn w:val="Normal"/>
    <w:link w:val="Heading10"/>
    <w:pPr>
      <w:spacing w:line="305" w:lineRule="auto"/>
      <w:ind w:left="2370"/>
      <w:outlineLvl w:val="0"/>
    </w:pPr>
    <w:rPr>
      <w:rFonts w:ascii="Times New Roman" w:eastAsia="Times New Roman" w:hAnsi="Times New Roman" w:cs="Times New Roman"/>
      <w:b/>
      <w:bCs/>
      <w:sz w:val="32"/>
      <w:szCs w:val="32"/>
    </w:rPr>
  </w:style>
  <w:style w:type="paragraph" w:customStyle="1" w:styleId="Heading51">
    <w:name w:val="Heading #5"/>
    <w:basedOn w:val="Normal"/>
    <w:link w:val="Heading50"/>
    <w:pPr>
      <w:spacing w:line="307" w:lineRule="auto"/>
      <w:outlineLvl w:val="4"/>
    </w:pPr>
    <w:rPr>
      <w:rFonts w:ascii="Times New Roman" w:eastAsia="Times New Roman" w:hAnsi="Times New Roman" w:cs="Times New Roman"/>
      <w:b/>
      <w:bCs/>
    </w:rPr>
  </w:style>
  <w:style w:type="paragraph" w:customStyle="1" w:styleId="Other0">
    <w:name w:val="Other"/>
    <w:basedOn w:val="Normal"/>
    <w:link w:val="Other"/>
    <w:pPr>
      <w:spacing w:line="314" w:lineRule="auto"/>
      <w:ind w:firstLine="400"/>
    </w:pPr>
    <w:rPr>
      <w:rFonts w:ascii="Times New Roman" w:eastAsia="Times New Roman" w:hAnsi="Times New Roman" w:cs="Times New Roman"/>
      <w:sz w:val="22"/>
      <w:szCs w:val="22"/>
    </w:rPr>
  </w:style>
  <w:style w:type="paragraph" w:customStyle="1" w:styleId="Heading41">
    <w:name w:val="Heading #4"/>
    <w:basedOn w:val="Normal"/>
    <w:link w:val="Heading40"/>
    <w:pPr>
      <w:ind w:firstLine="240"/>
      <w:outlineLvl w:val="3"/>
    </w:pPr>
    <w:rPr>
      <w:rFonts w:ascii="Arial" w:eastAsia="Arial" w:hAnsi="Arial" w:cs="Arial"/>
      <w:sz w:val="28"/>
      <w:szCs w:val="28"/>
    </w:rPr>
  </w:style>
  <w:style w:type="paragraph" w:customStyle="1" w:styleId="Bodytext50">
    <w:name w:val="Body text (5)"/>
    <w:basedOn w:val="Normal"/>
    <w:link w:val="Bodytext5"/>
    <w:pPr>
      <w:spacing w:line="254" w:lineRule="auto"/>
    </w:pPr>
    <w:rPr>
      <w:rFonts w:ascii="Arial" w:eastAsia="Arial" w:hAnsi="Arial" w:cs="Arial"/>
      <w:b/>
      <w:bCs/>
      <w:color w:val="F12E5E"/>
      <w:w w:val="70"/>
      <w:sz w:val="20"/>
      <w:szCs w:val="20"/>
    </w:rPr>
  </w:style>
  <w:style w:type="paragraph" w:customStyle="1" w:styleId="Bodytext20">
    <w:name w:val="Body text (2)"/>
    <w:basedOn w:val="Normal"/>
    <w:link w:val="Bodytext2"/>
    <w:rPr>
      <w:rFonts w:ascii="Arial" w:eastAsia="Arial" w:hAnsi="Arial" w:cs="Arial"/>
      <w:sz w:val="18"/>
      <w:szCs w:val="18"/>
    </w:rPr>
  </w:style>
  <w:style w:type="paragraph" w:customStyle="1" w:styleId="Tableofcontents0">
    <w:name w:val="Table of contents"/>
    <w:basedOn w:val="Normal"/>
    <w:link w:val="Tableofcontents"/>
    <w:pPr>
      <w:spacing w:line="298" w:lineRule="auto"/>
      <w:ind w:firstLine="620"/>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257" w:lineRule="auto"/>
    </w:pPr>
    <w:rPr>
      <w:rFonts w:ascii="Arial" w:eastAsia="Arial" w:hAnsi="Arial" w:cs="Arial"/>
      <w:sz w:val="18"/>
      <w:szCs w:val="18"/>
    </w:rPr>
  </w:style>
  <w:style w:type="paragraph" w:customStyle="1" w:styleId="Heading21">
    <w:name w:val="Heading #2"/>
    <w:basedOn w:val="Normal"/>
    <w:link w:val="Heading20"/>
    <w:pPr>
      <w:spacing w:line="254" w:lineRule="auto"/>
      <w:jc w:val="center"/>
      <w:outlineLvl w:val="1"/>
    </w:pPr>
    <w:rPr>
      <w:rFonts w:ascii="Times New Roman" w:eastAsia="Times New Roman" w:hAnsi="Times New Roman" w:cs="Times New Roman"/>
      <w:b/>
      <w:bCs/>
      <w:sz w:val="28"/>
      <w:szCs w:val="28"/>
    </w:rPr>
  </w:style>
  <w:style w:type="paragraph" w:customStyle="1" w:styleId="Bodytext60">
    <w:name w:val="Body text (6)"/>
    <w:basedOn w:val="Normal"/>
    <w:link w:val="Bodytext6"/>
    <w:pPr>
      <w:jc w:val="right"/>
    </w:pPr>
    <w:rPr>
      <w:rFonts w:ascii="Times New Roman" w:eastAsia="Times New Roman" w:hAnsi="Times New Roman" w:cs="Times New Roman"/>
      <w:b/>
      <w:bCs/>
      <w:color w:val="F12E5E"/>
      <w:sz w:val="16"/>
      <w:szCs w:val="16"/>
    </w:rPr>
  </w:style>
  <w:style w:type="paragraph" w:customStyle="1" w:styleId="Bodytext40">
    <w:name w:val="Body text (4)"/>
    <w:basedOn w:val="Normal"/>
    <w:link w:val="Bodytext4"/>
    <w:pPr>
      <w:spacing w:line="257" w:lineRule="auto"/>
      <w:ind w:left="1140"/>
    </w:pPr>
    <w:rPr>
      <w:rFonts w:ascii="Arial" w:eastAsia="Arial" w:hAnsi="Arial" w:cs="Arial"/>
      <w:sz w:val="16"/>
      <w:szCs w:val="16"/>
    </w:rPr>
  </w:style>
  <w:style w:type="paragraph" w:customStyle="1" w:styleId="Bodytext90">
    <w:name w:val="Body text (9)"/>
    <w:basedOn w:val="Normal"/>
    <w:link w:val="Bodytext9"/>
    <w:rPr>
      <w:rFonts w:ascii="Arial" w:eastAsia="Arial" w:hAnsi="Arial" w:cs="Arial"/>
      <w:smallCaps/>
      <w:color w:val="F12E5E"/>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1C3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M5tw92bdZNAeHzHU2l3FUhcAw==">CgMxLjA4AHIhMVlWUHVKTkdfc3h3UWhwTGIwYm5xWDRzQkVkT0Q0NDli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9</cp:revision>
  <dcterms:created xsi:type="dcterms:W3CDTF">2024-03-18T08:09:00Z</dcterms:created>
  <dcterms:modified xsi:type="dcterms:W3CDTF">2024-03-20T03:58:00Z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b260585104ecee7384e1690dffb908f84cc59459858cd8e55df71ac45ff9b9d4</vt:lpwstr>
  </property>
</Properties>
</file>