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2E4F" w14:textId="77777777" w:rsidR="0023677C" w:rsidRPr="003D245C" w:rsidRDefault="00D00CA5" w:rsidP="007D6F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D245C">
        <w:rPr>
          <w:rFonts w:ascii="Arial" w:hAnsi="Arial" w:cs="Arial"/>
          <w:b/>
          <w:color w:val="010000"/>
          <w:sz w:val="20"/>
        </w:rPr>
        <w:t xml:space="preserve">GND: Explanation on Financial Statements 2023 </w:t>
      </w:r>
    </w:p>
    <w:p w14:paraId="146B72D4" w14:textId="077605AC" w:rsidR="0023677C" w:rsidRPr="003D245C" w:rsidRDefault="00D00CA5" w:rsidP="007D6F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45C">
        <w:rPr>
          <w:rFonts w:ascii="Arial" w:hAnsi="Arial" w:cs="Arial"/>
          <w:color w:val="010000"/>
          <w:sz w:val="20"/>
        </w:rPr>
        <w:t xml:space="preserve">On March 15, 2024, Dong </w:t>
      </w:r>
      <w:proofErr w:type="spellStart"/>
      <w:r w:rsidRPr="003D245C">
        <w:rPr>
          <w:rFonts w:ascii="Arial" w:hAnsi="Arial" w:cs="Arial"/>
          <w:color w:val="010000"/>
          <w:sz w:val="20"/>
        </w:rPr>
        <w:t>Nai</w:t>
      </w:r>
      <w:proofErr w:type="spellEnd"/>
      <w:r w:rsidRPr="003D245C">
        <w:rPr>
          <w:rFonts w:ascii="Arial" w:hAnsi="Arial" w:cs="Arial"/>
          <w:color w:val="010000"/>
          <w:sz w:val="20"/>
        </w:rPr>
        <w:t xml:space="preserve"> Brick and Tile Corporation announced Official Dispatch No. 106/GNDN-TCKT explaining the increase of over 10% of profit after tax in the </w:t>
      </w:r>
      <w:r w:rsidR="00A53A46" w:rsidRPr="003D245C">
        <w:rPr>
          <w:rFonts w:ascii="Arial" w:hAnsi="Arial" w:cs="Arial"/>
          <w:color w:val="010000"/>
          <w:sz w:val="20"/>
        </w:rPr>
        <w:t xml:space="preserve">Audited </w:t>
      </w:r>
      <w:r w:rsidRPr="003D245C">
        <w:rPr>
          <w:rFonts w:ascii="Arial" w:hAnsi="Arial" w:cs="Arial"/>
          <w:color w:val="010000"/>
          <w:sz w:val="20"/>
        </w:rPr>
        <w:t xml:space="preserve">Consolidated Financial Statements 2023 compared to the same period last year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2665"/>
        <w:gridCol w:w="1540"/>
        <w:gridCol w:w="1540"/>
        <w:gridCol w:w="1679"/>
        <w:gridCol w:w="940"/>
      </w:tblGrid>
      <w:tr w:rsidR="0023677C" w:rsidRPr="003D245C" w14:paraId="28D966DD" w14:textId="77777777" w:rsidTr="00D00CA5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0A72B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9D797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093D2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3CE13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5648D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F5129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23677C" w:rsidRPr="003D245C" w14:paraId="3A56701B" w14:textId="77777777" w:rsidTr="00D00CA5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C0560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70C96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Consolidated profit after tax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AD918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34,532,257,980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73846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49,053,155,028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6A500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(14,520,897,048)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4ED75" w14:textId="77777777" w:rsidR="0023677C" w:rsidRPr="003D245C" w:rsidRDefault="00D00CA5" w:rsidP="00D0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245C">
              <w:rPr>
                <w:rFonts w:ascii="Arial" w:hAnsi="Arial" w:cs="Arial"/>
                <w:color w:val="010000"/>
                <w:sz w:val="20"/>
              </w:rPr>
              <w:t>-29.60%</w:t>
            </w:r>
          </w:p>
        </w:tc>
      </w:tr>
    </w:tbl>
    <w:p w14:paraId="2117840B" w14:textId="11858264" w:rsidR="0023677C" w:rsidRPr="003D245C" w:rsidRDefault="00D00CA5" w:rsidP="007D6F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45C">
        <w:rPr>
          <w:rFonts w:ascii="Arial" w:hAnsi="Arial" w:cs="Arial"/>
          <w:color w:val="010000"/>
          <w:sz w:val="20"/>
        </w:rPr>
        <w:t>The consolidated profit after tax in 2023 decreased by 29.6 % over the same period in 2022.</w:t>
      </w:r>
    </w:p>
    <w:p w14:paraId="1E31515F" w14:textId="2D22187D" w:rsidR="0023677C" w:rsidRPr="003D245C" w:rsidRDefault="00D00CA5" w:rsidP="007D6F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245C">
        <w:rPr>
          <w:rFonts w:ascii="Arial" w:hAnsi="Arial" w:cs="Arial"/>
          <w:color w:val="010000"/>
          <w:sz w:val="20"/>
        </w:rPr>
        <w:t xml:space="preserve">Reason: revenue from goods sales in 2023 </w:t>
      </w:r>
      <w:r w:rsidR="003D245C" w:rsidRPr="003D245C">
        <w:rPr>
          <w:rFonts w:ascii="Arial" w:hAnsi="Arial" w:cs="Arial"/>
          <w:color w:val="010000"/>
          <w:sz w:val="20"/>
        </w:rPr>
        <w:t xml:space="preserve">decreased by </w:t>
      </w:r>
      <w:r w:rsidRPr="003D245C">
        <w:rPr>
          <w:rFonts w:ascii="Arial" w:hAnsi="Arial" w:cs="Arial"/>
          <w:color w:val="010000"/>
          <w:sz w:val="20"/>
        </w:rPr>
        <w:t xml:space="preserve">32.94% compared to 2022, which made the profit after tax in 2023 </w:t>
      </w:r>
      <w:r w:rsidR="003D245C" w:rsidRPr="003D245C">
        <w:rPr>
          <w:rFonts w:ascii="Arial" w:hAnsi="Arial" w:cs="Arial"/>
          <w:color w:val="010000"/>
          <w:sz w:val="20"/>
        </w:rPr>
        <w:t>decreased comp</w:t>
      </w:r>
      <w:bookmarkStart w:id="0" w:name="_GoBack"/>
      <w:bookmarkEnd w:id="0"/>
      <w:r w:rsidR="003D245C" w:rsidRPr="003D245C">
        <w:rPr>
          <w:rFonts w:ascii="Arial" w:hAnsi="Arial" w:cs="Arial"/>
          <w:color w:val="010000"/>
          <w:sz w:val="20"/>
        </w:rPr>
        <w:t>ared to</w:t>
      </w:r>
      <w:r w:rsidRPr="003D245C">
        <w:rPr>
          <w:rFonts w:ascii="Arial" w:hAnsi="Arial" w:cs="Arial"/>
          <w:color w:val="010000"/>
          <w:sz w:val="20"/>
        </w:rPr>
        <w:t xml:space="preserve"> 2022.</w:t>
      </w:r>
    </w:p>
    <w:sectPr w:rsidR="0023677C" w:rsidRPr="003D245C" w:rsidSect="00767A6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7C"/>
    <w:rsid w:val="0023677C"/>
    <w:rsid w:val="003D245C"/>
    <w:rsid w:val="00767A68"/>
    <w:rsid w:val="007D6F25"/>
    <w:rsid w:val="00A53A46"/>
    <w:rsid w:val="00D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59182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C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A1C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C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C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A1C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al"/>
    <w:link w:val="Bodytext5"/>
    <w:pPr>
      <w:ind w:firstLine="170"/>
    </w:pPr>
    <w:rPr>
      <w:rFonts w:ascii="Arial" w:eastAsia="Arial" w:hAnsi="Arial" w:cs="Arial"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350" w:lineRule="auto"/>
      <w:ind w:firstLine="210"/>
    </w:pPr>
    <w:rPr>
      <w:rFonts w:ascii="Times New Roman" w:eastAsia="Times New Roman" w:hAnsi="Times New Roman" w:cs="Times New Roman"/>
      <w:color w:val="191A1C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200" w:firstLine="100"/>
    </w:pPr>
    <w:rPr>
      <w:rFonts w:ascii="Times New Roman" w:eastAsia="Times New Roman" w:hAnsi="Times New Roman" w:cs="Times New Roman"/>
      <w:i/>
      <w:iCs/>
      <w:color w:val="191A1C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91A1C"/>
      <w:sz w:val="26"/>
      <w:szCs w:val="26"/>
    </w:rPr>
  </w:style>
  <w:style w:type="paragraph" w:customStyle="1" w:styleId="Other0">
    <w:name w:val="Other"/>
    <w:basedOn w:val="Normal"/>
    <w:link w:val="Other"/>
    <w:pPr>
      <w:spacing w:line="350" w:lineRule="auto"/>
      <w:ind w:firstLine="210"/>
    </w:pPr>
    <w:rPr>
      <w:rFonts w:ascii="Times New Roman" w:eastAsia="Times New Roman" w:hAnsi="Times New Roman" w:cs="Times New Roman"/>
      <w:color w:val="191A1C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191A1C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nDHc156Yoa/g0TMPCDbjfVNz1A==">CgMxLjA4AHIhMWY4MHZJRDcwelZNYjVNalUxbWFFc1BHVTdZYUJvdkdp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2024-03-21T03:44:00Z</dcterms:created>
  <dcterms:modified xsi:type="dcterms:W3CDTF">2024-03-21T03:44:00Z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451c355372ef18ffb9cd94b837524ce5a4940c306aa9654f54b76205624e04d8</vt:lpwstr>
  </property>
</Properties>
</file>