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130F" w14:textId="7783D82B"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A54DC">
        <w:rPr>
          <w:rFonts w:ascii="Arial" w:hAnsi="Arial" w:cs="Arial"/>
          <w:b/>
          <w:color w:val="010000"/>
          <w:sz w:val="20"/>
        </w:rPr>
        <w:t>IDP: Annual General Mandate</w:t>
      </w:r>
      <w:r w:rsidR="00345B9E">
        <w:rPr>
          <w:rFonts w:ascii="Arial" w:hAnsi="Arial" w:cs="Arial"/>
          <w:b/>
          <w:color w:val="010000"/>
          <w:sz w:val="20"/>
        </w:rPr>
        <w:t>s</w:t>
      </w:r>
      <w:bookmarkStart w:id="0" w:name="_GoBack"/>
      <w:bookmarkEnd w:id="0"/>
      <w:r w:rsidRPr="00BA54DC">
        <w:rPr>
          <w:rFonts w:ascii="Arial" w:hAnsi="Arial" w:cs="Arial"/>
          <w:b/>
          <w:color w:val="010000"/>
          <w:sz w:val="20"/>
        </w:rPr>
        <w:t xml:space="preserve"> 2024</w:t>
      </w:r>
    </w:p>
    <w:p w14:paraId="6F62059B"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On March 15, 2024, International Dairy Products Joint Stock Company announced General Mandate No. 001.2024/NQ.DHDCD.IDP as follows:</w:t>
      </w:r>
    </w:p>
    <w:p w14:paraId="1E7DFF60"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1. Approve the content of the Production and Business Performance Report 2023 and plan orientation 2024 according to Report No. 004.2024/BC.IDP dated March 15, 2024 attached to this General Mandate.</w:t>
      </w:r>
    </w:p>
    <w:p w14:paraId="62BAC749" w14:textId="77777777" w:rsidR="001C22E6" w:rsidRPr="00BA54DC" w:rsidRDefault="0029795A" w:rsidP="00AD1778">
      <w:pPr>
        <w:numPr>
          <w:ilvl w:val="0"/>
          <w:numId w:val="12"/>
        </w:numP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Report on 2023 Results</w:t>
      </w:r>
    </w:p>
    <w:p w14:paraId="327C2B50" w14:textId="77777777" w:rsidR="001C22E6" w:rsidRPr="00BA54DC" w:rsidRDefault="0029795A" w:rsidP="00AD1778">
      <w:pP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Business and production status:</w:t>
      </w:r>
    </w:p>
    <w:p w14:paraId="60967633" w14:textId="77777777" w:rsidR="001C22E6" w:rsidRPr="00BA54DC" w:rsidRDefault="0029795A" w:rsidP="00AD1778">
      <w:pP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Revenue increased, key targets of profit &amp; company scale improved: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4"/>
        <w:gridCol w:w="1355"/>
        <w:gridCol w:w="1353"/>
        <w:gridCol w:w="1355"/>
        <w:gridCol w:w="1652"/>
      </w:tblGrid>
      <w:tr w:rsidR="001C22E6" w:rsidRPr="00BA54DC" w14:paraId="536E95CA" w14:textId="77777777" w:rsidTr="00FF5B50">
        <w:tc>
          <w:tcPr>
            <w:tcW w:w="1832" w:type="pct"/>
            <w:shd w:val="clear" w:color="auto" w:fill="auto"/>
            <w:tcMar>
              <w:top w:w="0" w:type="dxa"/>
              <w:bottom w:w="0" w:type="dxa"/>
            </w:tcMar>
            <w:vAlign w:val="center"/>
          </w:tcPr>
          <w:p w14:paraId="0741701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Targets</w:t>
            </w:r>
          </w:p>
        </w:tc>
        <w:tc>
          <w:tcPr>
            <w:tcW w:w="751" w:type="pct"/>
            <w:shd w:val="clear" w:color="auto" w:fill="auto"/>
            <w:tcMar>
              <w:top w:w="0" w:type="dxa"/>
              <w:bottom w:w="0" w:type="dxa"/>
            </w:tcMar>
            <w:vAlign w:val="center"/>
          </w:tcPr>
          <w:p w14:paraId="747551CE"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Unit</w:t>
            </w:r>
          </w:p>
        </w:tc>
        <w:tc>
          <w:tcPr>
            <w:tcW w:w="750" w:type="pct"/>
            <w:shd w:val="clear" w:color="auto" w:fill="auto"/>
            <w:tcMar>
              <w:top w:w="0" w:type="dxa"/>
              <w:bottom w:w="0" w:type="dxa"/>
            </w:tcMar>
            <w:vAlign w:val="center"/>
          </w:tcPr>
          <w:p w14:paraId="53D041EC" w14:textId="6869E4C2"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2022</w:t>
            </w:r>
          </w:p>
        </w:tc>
        <w:tc>
          <w:tcPr>
            <w:tcW w:w="751" w:type="pct"/>
            <w:shd w:val="clear" w:color="auto" w:fill="auto"/>
            <w:tcMar>
              <w:top w:w="0" w:type="dxa"/>
              <w:bottom w:w="0" w:type="dxa"/>
            </w:tcMar>
            <w:vAlign w:val="center"/>
          </w:tcPr>
          <w:p w14:paraId="777DDEC3" w14:textId="4179E2C8"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2023</w:t>
            </w:r>
          </w:p>
        </w:tc>
        <w:tc>
          <w:tcPr>
            <w:tcW w:w="916" w:type="pct"/>
            <w:shd w:val="clear" w:color="auto" w:fill="auto"/>
            <w:tcMar>
              <w:top w:w="0" w:type="dxa"/>
              <w:bottom w:w="0" w:type="dxa"/>
            </w:tcMar>
            <w:vAlign w:val="center"/>
          </w:tcPr>
          <w:p w14:paraId="1BA63C93" w14:textId="4F337983" w:rsidR="001C22E6" w:rsidRPr="00BA54DC" w:rsidRDefault="0029795A" w:rsidP="00551BCB">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 xml:space="preserve">Increase </w:t>
            </w:r>
            <w:r w:rsidR="00551BCB" w:rsidRPr="00BA54DC">
              <w:rPr>
                <w:rFonts w:ascii="Arial" w:hAnsi="Arial" w:cs="Arial" w:hint="eastAsia"/>
                <w:color w:val="010000"/>
                <w:sz w:val="20"/>
              </w:rPr>
              <w:t xml:space="preserve">rate of </w:t>
            </w:r>
            <w:r w:rsidRPr="00BA54DC">
              <w:rPr>
                <w:rFonts w:ascii="Arial" w:hAnsi="Arial" w:cs="Arial"/>
                <w:color w:val="010000"/>
                <w:sz w:val="20"/>
              </w:rPr>
              <w:t>2023 compared to 2022</w:t>
            </w:r>
          </w:p>
        </w:tc>
      </w:tr>
      <w:tr w:rsidR="001C22E6" w:rsidRPr="00BA54DC" w14:paraId="2B3B62F5" w14:textId="77777777" w:rsidTr="00FF5B50">
        <w:tc>
          <w:tcPr>
            <w:tcW w:w="1832" w:type="pct"/>
            <w:shd w:val="clear" w:color="auto" w:fill="auto"/>
            <w:tcMar>
              <w:top w:w="0" w:type="dxa"/>
              <w:bottom w:w="0" w:type="dxa"/>
            </w:tcMar>
            <w:vAlign w:val="center"/>
          </w:tcPr>
          <w:p w14:paraId="54753DAC"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Net revenue</w:t>
            </w:r>
          </w:p>
        </w:tc>
        <w:tc>
          <w:tcPr>
            <w:tcW w:w="751" w:type="pct"/>
            <w:shd w:val="clear" w:color="auto" w:fill="auto"/>
            <w:tcMar>
              <w:top w:w="0" w:type="dxa"/>
              <w:bottom w:w="0" w:type="dxa"/>
            </w:tcMar>
            <w:vAlign w:val="center"/>
          </w:tcPr>
          <w:p w14:paraId="30CBE0C7"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187AFE59" w14:textId="7BFDF99B"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6,086</w:t>
            </w:r>
          </w:p>
        </w:tc>
        <w:tc>
          <w:tcPr>
            <w:tcW w:w="751" w:type="pct"/>
            <w:shd w:val="clear" w:color="auto" w:fill="auto"/>
            <w:tcMar>
              <w:top w:w="0" w:type="dxa"/>
              <w:bottom w:w="0" w:type="dxa"/>
            </w:tcMar>
            <w:vAlign w:val="center"/>
          </w:tcPr>
          <w:p w14:paraId="417C5DD2" w14:textId="595D9F2D"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6,655</w:t>
            </w:r>
          </w:p>
        </w:tc>
        <w:tc>
          <w:tcPr>
            <w:tcW w:w="916" w:type="pct"/>
            <w:shd w:val="clear" w:color="auto" w:fill="auto"/>
            <w:tcMar>
              <w:top w:w="0" w:type="dxa"/>
              <w:bottom w:w="0" w:type="dxa"/>
            </w:tcMar>
            <w:vAlign w:val="center"/>
          </w:tcPr>
          <w:p w14:paraId="5B2811B0"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9.34%</w:t>
            </w:r>
          </w:p>
        </w:tc>
      </w:tr>
      <w:tr w:rsidR="001C22E6" w:rsidRPr="00BA54DC" w14:paraId="1C6279CE" w14:textId="77777777" w:rsidTr="00FF5B50">
        <w:tc>
          <w:tcPr>
            <w:tcW w:w="1832" w:type="pct"/>
            <w:shd w:val="clear" w:color="auto" w:fill="auto"/>
            <w:tcMar>
              <w:top w:w="0" w:type="dxa"/>
              <w:bottom w:w="0" w:type="dxa"/>
            </w:tcMar>
            <w:vAlign w:val="center"/>
          </w:tcPr>
          <w:p w14:paraId="20501890"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Profit before tax</w:t>
            </w:r>
          </w:p>
        </w:tc>
        <w:tc>
          <w:tcPr>
            <w:tcW w:w="751" w:type="pct"/>
            <w:shd w:val="clear" w:color="auto" w:fill="auto"/>
            <w:tcMar>
              <w:top w:w="0" w:type="dxa"/>
              <w:bottom w:w="0" w:type="dxa"/>
            </w:tcMar>
            <w:vAlign w:val="center"/>
          </w:tcPr>
          <w:p w14:paraId="3BCB11B2"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7872BB25" w14:textId="77B0628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990</w:t>
            </w:r>
          </w:p>
        </w:tc>
        <w:tc>
          <w:tcPr>
            <w:tcW w:w="751" w:type="pct"/>
            <w:shd w:val="clear" w:color="auto" w:fill="auto"/>
            <w:tcMar>
              <w:top w:w="0" w:type="dxa"/>
              <w:bottom w:w="0" w:type="dxa"/>
            </w:tcMar>
            <w:vAlign w:val="center"/>
          </w:tcPr>
          <w:p w14:paraId="64826058" w14:textId="44C0C56F"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1,152</w:t>
            </w:r>
          </w:p>
        </w:tc>
        <w:tc>
          <w:tcPr>
            <w:tcW w:w="916" w:type="pct"/>
            <w:shd w:val="clear" w:color="auto" w:fill="auto"/>
            <w:tcMar>
              <w:top w:w="0" w:type="dxa"/>
              <w:bottom w:w="0" w:type="dxa"/>
            </w:tcMar>
            <w:vAlign w:val="center"/>
          </w:tcPr>
          <w:p w14:paraId="78B6EB01"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16.39%</w:t>
            </w:r>
          </w:p>
        </w:tc>
      </w:tr>
      <w:tr w:rsidR="001C22E6" w:rsidRPr="00BA54DC" w14:paraId="035F910C" w14:textId="77777777" w:rsidTr="00FF5B50">
        <w:tc>
          <w:tcPr>
            <w:tcW w:w="1832" w:type="pct"/>
            <w:shd w:val="clear" w:color="auto" w:fill="auto"/>
            <w:tcMar>
              <w:top w:w="0" w:type="dxa"/>
              <w:bottom w:w="0" w:type="dxa"/>
            </w:tcMar>
            <w:vAlign w:val="center"/>
          </w:tcPr>
          <w:p w14:paraId="08E791CE"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Profit after tax</w:t>
            </w:r>
          </w:p>
        </w:tc>
        <w:tc>
          <w:tcPr>
            <w:tcW w:w="751" w:type="pct"/>
            <w:shd w:val="clear" w:color="auto" w:fill="auto"/>
            <w:tcMar>
              <w:top w:w="0" w:type="dxa"/>
              <w:bottom w:w="0" w:type="dxa"/>
            </w:tcMar>
            <w:vAlign w:val="center"/>
          </w:tcPr>
          <w:p w14:paraId="36D147A1"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15B5C362" w14:textId="32631ED9"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810</w:t>
            </w:r>
          </w:p>
        </w:tc>
        <w:tc>
          <w:tcPr>
            <w:tcW w:w="751" w:type="pct"/>
            <w:shd w:val="clear" w:color="auto" w:fill="auto"/>
            <w:tcMar>
              <w:top w:w="0" w:type="dxa"/>
              <w:bottom w:w="0" w:type="dxa"/>
            </w:tcMar>
            <w:vAlign w:val="center"/>
          </w:tcPr>
          <w:p w14:paraId="79153C8C" w14:textId="1FA33769"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924</w:t>
            </w:r>
          </w:p>
        </w:tc>
        <w:tc>
          <w:tcPr>
            <w:tcW w:w="916" w:type="pct"/>
            <w:shd w:val="clear" w:color="auto" w:fill="auto"/>
            <w:tcMar>
              <w:top w:w="0" w:type="dxa"/>
              <w:bottom w:w="0" w:type="dxa"/>
            </w:tcMar>
            <w:vAlign w:val="center"/>
          </w:tcPr>
          <w:p w14:paraId="3EC0BEAC"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14.05%</w:t>
            </w:r>
          </w:p>
        </w:tc>
      </w:tr>
      <w:tr w:rsidR="001C22E6" w:rsidRPr="00BA54DC" w14:paraId="396A6A5B" w14:textId="77777777" w:rsidTr="00FF5B50">
        <w:tc>
          <w:tcPr>
            <w:tcW w:w="1832" w:type="pct"/>
            <w:shd w:val="clear" w:color="auto" w:fill="auto"/>
            <w:tcMar>
              <w:top w:w="0" w:type="dxa"/>
              <w:bottom w:w="0" w:type="dxa"/>
            </w:tcMar>
            <w:vAlign w:val="center"/>
          </w:tcPr>
          <w:p w14:paraId="044C348F"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EBITDA</w:t>
            </w:r>
          </w:p>
        </w:tc>
        <w:tc>
          <w:tcPr>
            <w:tcW w:w="751" w:type="pct"/>
            <w:shd w:val="clear" w:color="auto" w:fill="auto"/>
            <w:tcMar>
              <w:top w:w="0" w:type="dxa"/>
              <w:bottom w:w="0" w:type="dxa"/>
            </w:tcMar>
            <w:vAlign w:val="center"/>
          </w:tcPr>
          <w:p w14:paraId="7A88F217"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72BC59A2" w14:textId="5391830C"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1,084</w:t>
            </w:r>
          </w:p>
        </w:tc>
        <w:tc>
          <w:tcPr>
            <w:tcW w:w="751" w:type="pct"/>
            <w:shd w:val="clear" w:color="auto" w:fill="auto"/>
            <w:tcMar>
              <w:top w:w="0" w:type="dxa"/>
              <w:bottom w:w="0" w:type="dxa"/>
            </w:tcMar>
            <w:vAlign w:val="center"/>
          </w:tcPr>
          <w:p w14:paraId="3EC790AA" w14:textId="105D3D4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1,230</w:t>
            </w:r>
          </w:p>
        </w:tc>
        <w:tc>
          <w:tcPr>
            <w:tcW w:w="916" w:type="pct"/>
            <w:shd w:val="clear" w:color="auto" w:fill="auto"/>
            <w:tcMar>
              <w:top w:w="0" w:type="dxa"/>
              <w:bottom w:w="0" w:type="dxa"/>
            </w:tcMar>
            <w:vAlign w:val="center"/>
          </w:tcPr>
          <w:p w14:paraId="0905AA7E"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13.48%</w:t>
            </w:r>
          </w:p>
        </w:tc>
      </w:tr>
      <w:tr w:rsidR="001C22E6" w:rsidRPr="00BA54DC" w14:paraId="1C04F4F6" w14:textId="77777777" w:rsidTr="00FF5B50">
        <w:tc>
          <w:tcPr>
            <w:tcW w:w="1832" w:type="pct"/>
            <w:shd w:val="clear" w:color="auto" w:fill="auto"/>
            <w:tcMar>
              <w:top w:w="0" w:type="dxa"/>
              <w:bottom w:w="0" w:type="dxa"/>
            </w:tcMar>
            <w:vAlign w:val="center"/>
          </w:tcPr>
          <w:p w14:paraId="427F02F2"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Total assets</w:t>
            </w:r>
          </w:p>
        </w:tc>
        <w:tc>
          <w:tcPr>
            <w:tcW w:w="751" w:type="pct"/>
            <w:shd w:val="clear" w:color="auto" w:fill="auto"/>
            <w:tcMar>
              <w:top w:w="0" w:type="dxa"/>
              <w:bottom w:w="0" w:type="dxa"/>
            </w:tcMar>
            <w:vAlign w:val="center"/>
          </w:tcPr>
          <w:p w14:paraId="1DA0C83F"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3C2ED38E" w14:textId="64047F11"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3,840</w:t>
            </w:r>
          </w:p>
        </w:tc>
        <w:tc>
          <w:tcPr>
            <w:tcW w:w="751" w:type="pct"/>
            <w:shd w:val="clear" w:color="auto" w:fill="auto"/>
            <w:tcMar>
              <w:top w:w="0" w:type="dxa"/>
              <w:bottom w:w="0" w:type="dxa"/>
            </w:tcMar>
            <w:vAlign w:val="center"/>
          </w:tcPr>
          <w:p w14:paraId="6B76D10A" w14:textId="1B8BAACF"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5,244</w:t>
            </w:r>
          </w:p>
        </w:tc>
        <w:tc>
          <w:tcPr>
            <w:tcW w:w="916" w:type="pct"/>
            <w:shd w:val="clear" w:color="auto" w:fill="auto"/>
            <w:tcMar>
              <w:top w:w="0" w:type="dxa"/>
              <w:bottom w:w="0" w:type="dxa"/>
            </w:tcMar>
            <w:vAlign w:val="center"/>
          </w:tcPr>
          <w:p w14:paraId="483E6066"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36.57%</w:t>
            </w:r>
          </w:p>
        </w:tc>
      </w:tr>
      <w:tr w:rsidR="001C22E6" w:rsidRPr="00BA54DC" w14:paraId="0A8FC3E2" w14:textId="77777777" w:rsidTr="00FF5B50">
        <w:tc>
          <w:tcPr>
            <w:tcW w:w="1832" w:type="pct"/>
            <w:shd w:val="clear" w:color="auto" w:fill="auto"/>
            <w:tcMar>
              <w:top w:w="0" w:type="dxa"/>
              <w:bottom w:w="0" w:type="dxa"/>
            </w:tcMar>
            <w:vAlign w:val="center"/>
          </w:tcPr>
          <w:p w14:paraId="053634EC"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Owners' equity</w:t>
            </w:r>
          </w:p>
        </w:tc>
        <w:tc>
          <w:tcPr>
            <w:tcW w:w="751" w:type="pct"/>
            <w:shd w:val="clear" w:color="auto" w:fill="auto"/>
            <w:tcMar>
              <w:top w:w="0" w:type="dxa"/>
              <w:bottom w:w="0" w:type="dxa"/>
            </w:tcMar>
            <w:vAlign w:val="center"/>
          </w:tcPr>
          <w:p w14:paraId="0B98F40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05D5EC5D" w14:textId="582495CC"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1,807</w:t>
            </w:r>
          </w:p>
        </w:tc>
        <w:tc>
          <w:tcPr>
            <w:tcW w:w="751" w:type="pct"/>
            <w:shd w:val="clear" w:color="auto" w:fill="auto"/>
            <w:tcMar>
              <w:top w:w="0" w:type="dxa"/>
              <w:bottom w:w="0" w:type="dxa"/>
            </w:tcMar>
            <w:vAlign w:val="center"/>
          </w:tcPr>
          <w:p w14:paraId="7AD95405" w14:textId="0E93A1B5"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3,065</w:t>
            </w:r>
          </w:p>
        </w:tc>
        <w:tc>
          <w:tcPr>
            <w:tcW w:w="916" w:type="pct"/>
            <w:shd w:val="clear" w:color="auto" w:fill="auto"/>
            <w:tcMar>
              <w:top w:w="0" w:type="dxa"/>
              <w:bottom w:w="0" w:type="dxa"/>
            </w:tcMar>
            <w:vAlign w:val="center"/>
          </w:tcPr>
          <w:p w14:paraId="7E793268"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69.60%</w:t>
            </w:r>
          </w:p>
        </w:tc>
      </w:tr>
      <w:tr w:rsidR="001C22E6" w:rsidRPr="00BA54DC" w14:paraId="5662D2CB" w14:textId="77777777" w:rsidTr="00FF5B50">
        <w:tc>
          <w:tcPr>
            <w:tcW w:w="1832" w:type="pct"/>
            <w:shd w:val="clear" w:color="auto" w:fill="auto"/>
            <w:tcMar>
              <w:top w:w="0" w:type="dxa"/>
              <w:bottom w:w="0" w:type="dxa"/>
            </w:tcMar>
            <w:vAlign w:val="center"/>
          </w:tcPr>
          <w:p w14:paraId="485A7192"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Total payables</w:t>
            </w:r>
          </w:p>
        </w:tc>
        <w:tc>
          <w:tcPr>
            <w:tcW w:w="751" w:type="pct"/>
            <w:shd w:val="clear" w:color="auto" w:fill="auto"/>
            <w:tcMar>
              <w:top w:w="0" w:type="dxa"/>
              <w:bottom w:w="0" w:type="dxa"/>
            </w:tcMar>
            <w:vAlign w:val="center"/>
          </w:tcPr>
          <w:p w14:paraId="50C3B7EB"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750" w:type="pct"/>
            <w:shd w:val="clear" w:color="auto" w:fill="auto"/>
            <w:tcMar>
              <w:top w:w="0" w:type="dxa"/>
              <w:bottom w:w="0" w:type="dxa"/>
            </w:tcMar>
            <w:vAlign w:val="center"/>
          </w:tcPr>
          <w:p w14:paraId="7F738FF4" w14:textId="50AF5420"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2,033</w:t>
            </w:r>
          </w:p>
        </w:tc>
        <w:tc>
          <w:tcPr>
            <w:tcW w:w="751" w:type="pct"/>
            <w:shd w:val="clear" w:color="auto" w:fill="auto"/>
            <w:tcMar>
              <w:top w:w="0" w:type="dxa"/>
              <w:bottom w:w="0" w:type="dxa"/>
            </w:tcMar>
            <w:vAlign w:val="center"/>
          </w:tcPr>
          <w:p w14:paraId="0F667ED3" w14:textId="713B3261"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2,180</w:t>
            </w:r>
          </w:p>
        </w:tc>
        <w:tc>
          <w:tcPr>
            <w:tcW w:w="916" w:type="pct"/>
            <w:shd w:val="clear" w:color="auto" w:fill="auto"/>
            <w:tcMar>
              <w:top w:w="0" w:type="dxa"/>
              <w:bottom w:w="0" w:type="dxa"/>
            </w:tcMar>
            <w:vAlign w:val="center"/>
          </w:tcPr>
          <w:p w14:paraId="6A1C2FCE"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7.21%</w:t>
            </w:r>
          </w:p>
        </w:tc>
      </w:tr>
      <w:tr w:rsidR="001C22E6" w:rsidRPr="00BA54DC" w14:paraId="3A89CAD0" w14:textId="77777777" w:rsidTr="00FF5B50">
        <w:tc>
          <w:tcPr>
            <w:tcW w:w="1832" w:type="pct"/>
            <w:shd w:val="clear" w:color="auto" w:fill="auto"/>
            <w:tcMar>
              <w:top w:w="0" w:type="dxa"/>
              <w:bottom w:w="0" w:type="dxa"/>
            </w:tcMar>
            <w:vAlign w:val="center"/>
          </w:tcPr>
          <w:p w14:paraId="283D913C"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Owners’ equity/Total assets</w:t>
            </w:r>
          </w:p>
        </w:tc>
        <w:tc>
          <w:tcPr>
            <w:tcW w:w="751" w:type="pct"/>
            <w:shd w:val="clear" w:color="auto" w:fill="auto"/>
            <w:tcMar>
              <w:top w:w="0" w:type="dxa"/>
              <w:bottom w:w="0" w:type="dxa"/>
            </w:tcMar>
            <w:vAlign w:val="center"/>
          </w:tcPr>
          <w:p w14:paraId="5CF97C51"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w:t>
            </w:r>
          </w:p>
        </w:tc>
        <w:tc>
          <w:tcPr>
            <w:tcW w:w="750" w:type="pct"/>
            <w:shd w:val="clear" w:color="auto" w:fill="auto"/>
            <w:tcMar>
              <w:top w:w="0" w:type="dxa"/>
              <w:bottom w:w="0" w:type="dxa"/>
            </w:tcMar>
            <w:vAlign w:val="center"/>
          </w:tcPr>
          <w:p w14:paraId="6A23213D"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47%</w:t>
            </w:r>
          </w:p>
        </w:tc>
        <w:tc>
          <w:tcPr>
            <w:tcW w:w="751" w:type="pct"/>
            <w:shd w:val="clear" w:color="auto" w:fill="auto"/>
            <w:tcMar>
              <w:top w:w="0" w:type="dxa"/>
              <w:bottom w:w="0" w:type="dxa"/>
            </w:tcMar>
            <w:vAlign w:val="center"/>
          </w:tcPr>
          <w:p w14:paraId="60BF1DFD"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58%</w:t>
            </w:r>
          </w:p>
        </w:tc>
        <w:tc>
          <w:tcPr>
            <w:tcW w:w="916" w:type="pct"/>
            <w:shd w:val="clear" w:color="auto" w:fill="auto"/>
            <w:tcMar>
              <w:top w:w="0" w:type="dxa"/>
              <w:bottom w:w="0" w:type="dxa"/>
            </w:tcMar>
            <w:vAlign w:val="center"/>
          </w:tcPr>
          <w:p w14:paraId="1EEE6447"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24.18%</w:t>
            </w:r>
          </w:p>
        </w:tc>
      </w:tr>
      <w:tr w:rsidR="001C22E6" w:rsidRPr="00BA54DC" w14:paraId="1E65D303" w14:textId="77777777" w:rsidTr="00FF5B50">
        <w:tc>
          <w:tcPr>
            <w:tcW w:w="1832" w:type="pct"/>
            <w:shd w:val="clear" w:color="auto" w:fill="auto"/>
            <w:tcMar>
              <w:top w:w="0" w:type="dxa"/>
              <w:bottom w:w="0" w:type="dxa"/>
            </w:tcMar>
            <w:vAlign w:val="center"/>
          </w:tcPr>
          <w:p w14:paraId="5336714B"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Total liability/Total assets</w:t>
            </w:r>
          </w:p>
        </w:tc>
        <w:tc>
          <w:tcPr>
            <w:tcW w:w="751" w:type="pct"/>
            <w:shd w:val="clear" w:color="auto" w:fill="auto"/>
            <w:tcMar>
              <w:top w:w="0" w:type="dxa"/>
              <w:bottom w:w="0" w:type="dxa"/>
            </w:tcMar>
            <w:vAlign w:val="center"/>
          </w:tcPr>
          <w:p w14:paraId="6AA51B0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w:t>
            </w:r>
          </w:p>
        </w:tc>
        <w:tc>
          <w:tcPr>
            <w:tcW w:w="750" w:type="pct"/>
            <w:shd w:val="clear" w:color="auto" w:fill="auto"/>
            <w:tcMar>
              <w:top w:w="0" w:type="dxa"/>
              <w:bottom w:w="0" w:type="dxa"/>
            </w:tcMar>
            <w:vAlign w:val="center"/>
          </w:tcPr>
          <w:p w14:paraId="5B0A6150"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53%</w:t>
            </w:r>
          </w:p>
        </w:tc>
        <w:tc>
          <w:tcPr>
            <w:tcW w:w="751" w:type="pct"/>
            <w:shd w:val="clear" w:color="auto" w:fill="auto"/>
            <w:tcMar>
              <w:top w:w="0" w:type="dxa"/>
              <w:bottom w:w="0" w:type="dxa"/>
            </w:tcMar>
            <w:vAlign w:val="center"/>
          </w:tcPr>
          <w:p w14:paraId="38441361"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42%</w:t>
            </w:r>
          </w:p>
        </w:tc>
        <w:tc>
          <w:tcPr>
            <w:tcW w:w="916" w:type="pct"/>
            <w:shd w:val="clear" w:color="auto" w:fill="auto"/>
            <w:tcMar>
              <w:top w:w="0" w:type="dxa"/>
              <w:bottom w:w="0" w:type="dxa"/>
            </w:tcMar>
            <w:vAlign w:val="center"/>
          </w:tcPr>
          <w:p w14:paraId="26A8377F"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-21.50%</w:t>
            </w:r>
          </w:p>
        </w:tc>
      </w:tr>
      <w:tr w:rsidR="001C22E6" w:rsidRPr="00BA54DC" w14:paraId="7B6AE81D" w14:textId="77777777" w:rsidTr="00FF5B50">
        <w:tc>
          <w:tcPr>
            <w:tcW w:w="1832" w:type="pct"/>
            <w:shd w:val="clear" w:color="auto" w:fill="auto"/>
            <w:tcMar>
              <w:top w:w="0" w:type="dxa"/>
              <w:bottom w:w="0" w:type="dxa"/>
            </w:tcMar>
            <w:vAlign w:val="center"/>
          </w:tcPr>
          <w:p w14:paraId="435CE5B1"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ROE</w:t>
            </w:r>
          </w:p>
        </w:tc>
        <w:tc>
          <w:tcPr>
            <w:tcW w:w="751" w:type="pct"/>
            <w:shd w:val="clear" w:color="auto" w:fill="auto"/>
            <w:tcMar>
              <w:top w:w="0" w:type="dxa"/>
              <w:bottom w:w="0" w:type="dxa"/>
            </w:tcMar>
            <w:vAlign w:val="center"/>
          </w:tcPr>
          <w:p w14:paraId="5DE49BB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w:t>
            </w:r>
          </w:p>
        </w:tc>
        <w:tc>
          <w:tcPr>
            <w:tcW w:w="750" w:type="pct"/>
            <w:shd w:val="clear" w:color="auto" w:fill="auto"/>
            <w:tcMar>
              <w:top w:w="0" w:type="dxa"/>
              <w:bottom w:w="0" w:type="dxa"/>
            </w:tcMar>
            <w:vAlign w:val="center"/>
          </w:tcPr>
          <w:p w14:paraId="2636318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45%</w:t>
            </w:r>
          </w:p>
        </w:tc>
        <w:tc>
          <w:tcPr>
            <w:tcW w:w="751" w:type="pct"/>
            <w:shd w:val="clear" w:color="auto" w:fill="auto"/>
            <w:tcMar>
              <w:top w:w="0" w:type="dxa"/>
              <w:bottom w:w="0" w:type="dxa"/>
            </w:tcMar>
            <w:vAlign w:val="center"/>
          </w:tcPr>
          <w:p w14:paraId="081668BA"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30%</w:t>
            </w:r>
          </w:p>
        </w:tc>
        <w:tc>
          <w:tcPr>
            <w:tcW w:w="916" w:type="pct"/>
            <w:shd w:val="clear" w:color="auto" w:fill="auto"/>
            <w:tcMar>
              <w:top w:w="0" w:type="dxa"/>
              <w:bottom w:w="0" w:type="dxa"/>
            </w:tcMar>
            <w:vAlign w:val="center"/>
          </w:tcPr>
          <w:p w14:paraId="5EBC5DE4"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-32.75%</w:t>
            </w:r>
          </w:p>
        </w:tc>
      </w:tr>
      <w:tr w:rsidR="001C22E6" w:rsidRPr="00BA54DC" w14:paraId="38FDAF9F" w14:textId="77777777" w:rsidTr="00FF5B50">
        <w:tc>
          <w:tcPr>
            <w:tcW w:w="1832" w:type="pct"/>
            <w:shd w:val="clear" w:color="auto" w:fill="auto"/>
            <w:tcMar>
              <w:top w:w="0" w:type="dxa"/>
              <w:bottom w:w="0" w:type="dxa"/>
            </w:tcMar>
            <w:vAlign w:val="center"/>
          </w:tcPr>
          <w:p w14:paraId="4F579D24"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ROA</w:t>
            </w:r>
          </w:p>
        </w:tc>
        <w:tc>
          <w:tcPr>
            <w:tcW w:w="751" w:type="pct"/>
            <w:shd w:val="clear" w:color="auto" w:fill="auto"/>
            <w:tcMar>
              <w:top w:w="0" w:type="dxa"/>
              <w:bottom w:w="0" w:type="dxa"/>
            </w:tcMar>
            <w:vAlign w:val="center"/>
          </w:tcPr>
          <w:p w14:paraId="6F344A9D"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w:t>
            </w:r>
          </w:p>
        </w:tc>
        <w:tc>
          <w:tcPr>
            <w:tcW w:w="750" w:type="pct"/>
            <w:shd w:val="clear" w:color="auto" w:fill="auto"/>
            <w:tcMar>
              <w:top w:w="0" w:type="dxa"/>
              <w:bottom w:w="0" w:type="dxa"/>
            </w:tcMar>
            <w:vAlign w:val="center"/>
          </w:tcPr>
          <w:p w14:paraId="441F4F63"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21%</w:t>
            </w:r>
          </w:p>
        </w:tc>
        <w:tc>
          <w:tcPr>
            <w:tcW w:w="751" w:type="pct"/>
            <w:shd w:val="clear" w:color="auto" w:fill="auto"/>
            <w:tcMar>
              <w:top w:w="0" w:type="dxa"/>
              <w:bottom w:w="0" w:type="dxa"/>
            </w:tcMar>
            <w:vAlign w:val="center"/>
          </w:tcPr>
          <w:p w14:paraId="0035679A"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18%</w:t>
            </w:r>
          </w:p>
        </w:tc>
        <w:tc>
          <w:tcPr>
            <w:tcW w:w="916" w:type="pct"/>
            <w:shd w:val="clear" w:color="auto" w:fill="auto"/>
            <w:tcMar>
              <w:top w:w="0" w:type="dxa"/>
              <w:bottom w:w="0" w:type="dxa"/>
            </w:tcMar>
            <w:vAlign w:val="center"/>
          </w:tcPr>
          <w:p w14:paraId="1BD4423C"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-16.49%</w:t>
            </w:r>
          </w:p>
        </w:tc>
      </w:tr>
    </w:tbl>
    <w:p w14:paraId="774734FC" w14:textId="39DD5FB5" w:rsidR="001C22E6" w:rsidRPr="00BA54DC" w:rsidRDefault="00AD1778" w:rsidP="00FF5B50">
      <w:pPr>
        <w:numPr>
          <w:ilvl w:val="0"/>
          <w:numId w:val="12"/>
        </w:numP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rPr>
        <w:t>O</w:t>
      </w:r>
      <w:r w:rsidR="0029795A" w:rsidRPr="00BA54DC">
        <w:rPr>
          <w:rFonts w:ascii="Arial" w:hAnsi="Arial" w:cs="Arial"/>
          <w:color w:val="010000"/>
          <w:sz w:val="20"/>
        </w:rPr>
        <w:t>rientation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20"/>
        <w:gridCol w:w="1490"/>
        <w:gridCol w:w="1203"/>
        <w:gridCol w:w="1813"/>
        <w:gridCol w:w="2293"/>
      </w:tblGrid>
      <w:tr w:rsidR="001C22E6" w:rsidRPr="00BA54DC" w14:paraId="2FFF11F6" w14:textId="77777777" w:rsidTr="00FF5B50">
        <w:tc>
          <w:tcPr>
            <w:tcW w:w="1231" w:type="pct"/>
            <w:shd w:val="clear" w:color="auto" w:fill="auto"/>
            <w:tcMar>
              <w:top w:w="0" w:type="dxa"/>
              <w:bottom w:w="0" w:type="dxa"/>
            </w:tcMar>
            <w:vAlign w:val="center"/>
          </w:tcPr>
          <w:p w14:paraId="01C899AB"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Targets</w:t>
            </w:r>
          </w:p>
        </w:tc>
        <w:tc>
          <w:tcPr>
            <w:tcW w:w="826" w:type="pct"/>
            <w:shd w:val="clear" w:color="auto" w:fill="auto"/>
            <w:tcMar>
              <w:top w:w="0" w:type="dxa"/>
              <w:bottom w:w="0" w:type="dxa"/>
            </w:tcMar>
            <w:vAlign w:val="center"/>
          </w:tcPr>
          <w:p w14:paraId="07BBDAD0"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Unit</w:t>
            </w:r>
          </w:p>
        </w:tc>
        <w:tc>
          <w:tcPr>
            <w:tcW w:w="667" w:type="pct"/>
            <w:shd w:val="clear" w:color="auto" w:fill="auto"/>
            <w:tcMar>
              <w:top w:w="0" w:type="dxa"/>
              <w:bottom w:w="0" w:type="dxa"/>
            </w:tcMar>
            <w:vAlign w:val="center"/>
          </w:tcPr>
          <w:p w14:paraId="4CC61F0D" w14:textId="07089C84"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2023</w:t>
            </w:r>
          </w:p>
        </w:tc>
        <w:tc>
          <w:tcPr>
            <w:tcW w:w="1005" w:type="pct"/>
            <w:shd w:val="clear" w:color="auto" w:fill="auto"/>
            <w:tcMar>
              <w:top w:w="0" w:type="dxa"/>
              <w:bottom w:w="0" w:type="dxa"/>
            </w:tcMar>
            <w:vAlign w:val="center"/>
          </w:tcPr>
          <w:p w14:paraId="67A21D1D" w14:textId="70692F5E"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2024</w:t>
            </w:r>
          </w:p>
        </w:tc>
        <w:tc>
          <w:tcPr>
            <w:tcW w:w="1271" w:type="pct"/>
            <w:shd w:val="clear" w:color="auto" w:fill="auto"/>
            <w:tcMar>
              <w:top w:w="0" w:type="dxa"/>
              <w:bottom w:w="0" w:type="dxa"/>
            </w:tcMar>
            <w:vAlign w:val="center"/>
          </w:tcPr>
          <w:p w14:paraId="5143C590" w14:textId="0625D50D"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 xml:space="preserve">Increase </w:t>
            </w:r>
            <w:r w:rsidR="00354121" w:rsidRPr="00BA54DC">
              <w:rPr>
                <w:rFonts w:ascii="Arial" w:hAnsi="Arial" w:cs="Arial" w:hint="eastAsia"/>
                <w:color w:val="010000"/>
                <w:sz w:val="20"/>
              </w:rPr>
              <w:t xml:space="preserve">rate </w:t>
            </w:r>
            <w:r w:rsidRPr="00BA54DC">
              <w:rPr>
                <w:rFonts w:ascii="Arial" w:hAnsi="Arial" w:cs="Arial"/>
                <w:color w:val="010000"/>
                <w:sz w:val="20"/>
              </w:rPr>
              <w:t>of 2024 compared to 2023</w:t>
            </w:r>
          </w:p>
        </w:tc>
      </w:tr>
      <w:tr w:rsidR="001C22E6" w:rsidRPr="00BA54DC" w14:paraId="5BA509D2" w14:textId="77777777" w:rsidTr="00FF5B50">
        <w:tc>
          <w:tcPr>
            <w:tcW w:w="1231" w:type="pct"/>
            <w:shd w:val="clear" w:color="auto" w:fill="auto"/>
            <w:tcMar>
              <w:top w:w="0" w:type="dxa"/>
              <w:bottom w:w="0" w:type="dxa"/>
            </w:tcMar>
            <w:vAlign w:val="center"/>
          </w:tcPr>
          <w:p w14:paraId="6760CC60"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Net revenue</w:t>
            </w:r>
          </w:p>
        </w:tc>
        <w:tc>
          <w:tcPr>
            <w:tcW w:w="826" w:type="pct"/>
            <w:shd w:val="clear" w:color="auto" w:fill="auto"/>
            <w:tcMar>
              <w:top w:w="0" w:type="dxa"/>
              <w:bottom w:w="0" w:type="dxa"/>
            </w:tcMar>
            <w:vAlign w:val="center"/>
          </w:tcPr>
          <w:p w14:paraId="078D800E"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667" w:type="pct"/>
            <w:shd w:val="clear" w:color="auto" w:fill="auto"/>
            <w:tcMar>
              <w:top w:w="0" w:type="dxa"/>
              <w:bottom w:w="0" w:type="dxa"/>
            </w:tcMar>
            <w:vAlign w:val="center"/>
          </w:tcPr>
          <w:p w14:paraId="5A765241" w14:textId="0E4B2AED"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6,655</w:t>
            </w:r>
          </w:p>
        </w:tc>
        <w:tc>
          <w:tcPr>
            <w:tcW w:w="1005" w:type="pct"/>
            <w:shd w:val="clear" w:color="auto" w:fill="auto"/>
            <w:tcMar>
              <w:top w:w="0" w:type="dxa"/>
              <w:bottom w:w="0" w:type="dxa"/>
            </w:tcMar>
            <w:vAlign w:val="center"/>
          </w:tcPr>
          <w:p w14:paraId="083E7829"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7,800 - 8000</w:t>
            </w:r>
          </w:p>
        </w:tc>
        <w:tc>
          <w:tcPr>
            <w:tcW w:w="1271" w:type="pct"/>
            <w:shd w:val="clear" w:color="auto" w:fill="auto"/>
            <w:tcMar>
              <w:top w:w="0" w:type="dxa"/>
              <w:bottom w:w="0" w:type="dxa"/>
            </w:tcMar>
            <w:vAlign w:val="center"/>
          </w:tcPr>
          <w:p w14:paraId="5F9469A0"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17.2% to 20.2%</w:t>
            </w:r>
          </w:p>
        </w:tc>
      </w:tr>
      <w:tr w:rsidR="001C22E6" w:rsidRPr="00BA54DC" w14:paraId="02C7EB20" w14:textId="77777777" w:rsidTr="00FF5B50">
        <w:tc>
          <w:tcPr>
            <w:tcW w:w="1231" w:type="pct"/>
            <w:shd w:val="clear" w:color="auto" w:fill="auto"/>
            <w:tcMar>
              <w:top w:w="0" w:type="dxa"/>
              <w:bottom w:w="0" w:type="dxa"/>
            </w:tcMar>
            <w:vAlign w:val="center"/>
          </w:tcPr>
          <w:p w14:paraId="6576B04D"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Profit after tax</w:t>
            </w:r>
          </w:p>
        </w:tc>
        <w:tc>
          <w:tcPr>
            <w:tcW w:w="826" w:type="pct"/>
            <w:shd w:val="clear" w:color="auto" w:fill="auto"/>
            <w:tcMar>
              <w:top w:w="0" w:type="dxa"/>
              <w:bottom w:w="0" w:type="dxa"/>
            </w:tcMar>
            <w:vAlign w:val="center"/>
          </w:tcPr>
          <w:p w14:paraId="15567336"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667" w:type="pct"/>
            <w:shd w:val="clear" w:color="auto" w:fill="auto"/>
            <w:tcMar>
              <w:top w:w="0" w:type="dxa"/>
              <w:bottom w:w="0" w:type="dxa"/>
            </w:tcMar>
            <w:vAlign w:val="center"/>
          </w:tcPr>
          <w:p w14:paraId="308E8E0C" w14:textId="74BA90A6"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924</w:t>
            </w:r>
          </w:p>
        </w:tc>
        <w:tc>
          <w:tcPr>
            <w:tcW w:w="1005" w:type="pct"/>
            <w:shd w:val="clear" w:color="auto" w:fill="auto"/>
            <w:tcMar>
              <w:top w:w="0" w:type="dxa"/>
              <w:bottom w:w="0" w:type="dxa"/>
            </w:tcMar>
            <w:vAlign w:val="center"/>
          </w:tcPr>
          <w:p w14:paraId="67EC3B5F"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850 - 950</w:t>
            </w:r>
          </w:p>
        </w:tc>
        <w:tc>
          <w:tcPr>
            <w:tcW w:w="1271" w:type="pct"/>
            <w:shd w:val="clear" w:color="auto" w:fill="auto"/>
            <w:tcMar>
              <w:top w:w="0" w:type="dxa"/>
              <w:bottom w:w="0" w:type="dxa"/>
            </w:tcMar>
            <w:vAlign w:val="center"/>
          </w:tcPr>
          <w:p w14:paraId="6CAEA39F"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-8.0% to 2.8%</w:t>
            </w:r>
          </w:p>
        </w:tc>
      </w:tr>
      <w:tr w:rsidR="001C22E6" w:rsidRPr="00BA54DC" w14:paraId="30757CF0" w14:textId="77777777" w:rsidTr="00FF5B50">
        <w:tc>
          <w:tcPr>
            <w:tcW w:w="1231" w:type="pct"/>
            <w:shd w:val="clear" w:color="auto" w:fill="auto"/>
            <w:tcMar>
              <w:top w:w="0" w:type="dxa"/>
              <w:bottom w:w="0" w:type="dxa"/>
            </w:tcMar>
            <w:vAlign w:val="center"/>
          </w:tcPr>
          <w:p w14:paraId="4A93CE84" w14:textId="77777777" w:rsidR="001C22E6" w:rsidRPr="00BA54DC" w:rsidRDefault="0029795A" w:rsidP="00FF5B50">
            <w:pP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EBITDA</w:t>
            </w:r>
          </w:p>
        </w:tc>
        <w:tc>
          <w:tcPr>
            <w:tcW w:w="826" w:type="pct"/>
            <w:shd w:val="clear" w:color="auto" w:fill="auto"/>
            <w:tcMar>
              <w:top w:w="0" w:type="dxa"/>
              <w:bottom w:w="0" w:type="dxa"/>
            </w:tcMar>
            <w:vAlign w:val="center"/>
          </w:tcPr>
          <w:p w14:paraId="23667805"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Billion VND</w:t>
            </w:r>
          </w:p>
        </w:tc>
        <w:tc>
          <w:tcPr>
            <w:tcW w:w="667" w:type="pct"/>
            <w:shd w:val="clear" w:color="auto" w:fill="auto"/>
            <w:tcMar>
              <w:top w:w="0" w:type="dxa"/>
              <w:bottom w:w="0" w:type="dxa"/>
            </w:tcMar>
            <w:vAlign w:val="center"/>
          </w:tcPr>
          <w:p w14:paraId="2D172F09" w14:textId="344C263E"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1,230</w:t>
            </w:r>
          </w:p>
        </w:tc>
        <w:tc>
          <w:tcPr>
            <w:tcW w:w="1005" w:type="pct"/>
            <w:shd w:val="clear" w:color="auto" w:fill="auto"/>
            <w:tcMar>
              <w:top w:w="0" w:type="dxa"/>
              <w:bottom w:w="0" w:type="dxa"/>
            </w:tcMar>
            <w:vAlign w:val="center"/>
          </w:tcPr>
          <w:p w14:paraId="6D74303A"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1,250 - 1,350</w:t>
            </w:r>
          </w:p>
        </w:tc>
        <w:tc>
          <w:tcPr>
            <w:tcW w:w="1271" w:type="pct"/>
            <w:shd w:val="clear" w:color="auto" w:fill="auto"/>
            <w:tcMar>
              <w:top w:w="0" w:type="dxa"/>
              <w:bottom w:w="0" w:type="dxa"/>
            </w:tcMar>
            <w:vAlign w:val="center"/>
          </w:tcPr>
          <w:p w14:paraId="1D6B179C" w14:textId="77777777" w:rsidR="001C22E6" w:rsidRPr="00BA54DC" w:rsidRDefault="0029795A" w:rsidP="00FF5B50">
            <w:pPr>
              <w:tabs>
                <w:tab w:val="left" w:pos="432"/>
              </w:tabs>
              <w:spacing w:after="120" w:line="360" w:lineRule="auto"/>
              <w:jc w:val="center"/>
              <w:rPr>
                <w:rFonts w:ascii="Arial" w:eastAsia="Arial" w:hAnsi="Arial" w:cs="Arial"/>
                <w:color w:val="010000"/>
                <w:sz w:val="20"/>
                <w:szCs w:val="20"/>
              </w:rPr>
            </w:pPr>
            <w:r w:rsidRPr="00BA54DC">
              <w:rPr>
                <w:rFonts w:ascii="Arial" w:hAnsi="Arial" w:cs="Arial"/>
                <w:color w:val="010000"/>
                <w:sz w:val="20"/>
              </w:rPr>
              <w:t>1.6% to 9.8%</w:t>
            </w:r>
          </w:p>
        </w:tc>
      </w:tr>
    </w:tbl>
    <w:p w14:paraId="4A79BCA7"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2. Approve the content of the Report on summarizing the Board of Directors' activities in 2023 and plan orientation for 2024 according to Report No. 002/2024/BC.IDP dated March 15, 2024 attached to this General Mandate.</w:t>
      </w:r>
    </w:p>
    <w:p w14:paraId="3B47229F"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lastRenderedPageBreak/>
        <w:t>Article 3. Approve the content of the Supervisory Board Activity Report 2023 and plan orientation 2024 according to Report No. 003/2024/BC.IDP dated March 15, 2024.</w:t>
      </w:r>
    </w:p>
    <w:p w14:paraId="3307F0F9"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4. Approve the content of approval of the Audited Financial Statements 2023 according to Proposal No. 008/2024/</w:t>
      </w:r>
      <w:proofErr w:type="spellStart"/>
      <w:r w:rsidRPr="00BA54DC">
        <w:rPr>
          <w:rFonts w:ascii="Arial" w:hAnsi="Arial" w:cs="Arial"/>
          <w:color w:val="010000"/>
          <w:sz w:val="20"/>
        </w:rPr>
        <w:t>TTr.HDQT</w:t>
      </w:r>
      <w:proofErr w:type="spellEnd"/>
      <w:r w:rsidRPr="00BA54DC">
        <w:rPr>
          <w:rFonts w:ascii="Arial" w:hAnsi="Arial" w:cs="Arial"/>
          <w:color w:val="010000"/>
          <w:sz w:val="20"/>
        </w:rPr>
        <w:t xml:space="preserve"> dated March 15, 2024.</w:t>
      </w:r>
    </w:p>
    <w:p w14:paraId="52B457AC"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5. Approve the content of selecting an independent audit company to audit the Financial Statements 2024 according to Proposal No. 002/2024/</w:t>
      </w:r>
      <w:proofErr w:type="spellStart"/>
      <w:r w:rsidRPr="00BA54DC">
        <w:rPr>
          <w:rFonts w:ascii="Arial" w:hAnsi="Arial" w:cs="Arial"/>
          <w:color w:val="010000"/>
          <w:sz w:val="20"/>
        </w:rPr>
        <w:t>TTr</w:t>
      </w:r>
      <w:proofErr w:type="spellEnd"/>
      <w:r w:rsidRPr="00BA54DC">
        <w:rPr>
          <w:rFonts w:ascii="Arial" w:hAnsi="Arial" w:cs="Arial"/>
          <w:color w:val="010000"/>
          <w:sz w:val="20"/>
        </w:rPr>
        <w:t>. HDQT dated March 15, 2024 attached to this General Mandate.</w:t>
      </w:r>
    </w:p>
    <w:p w14:paraId="6B944BCE"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6. Approve the content of the profit distribution and dividend distribution plan 2023 and the profit distribution plan 2024 according to Proposal No. 003/2024/</w:t>
      </w:r>
      <w:proofErr w:type="spellStart"/>
      <w:r w:rsidRPr="00BA54DC">
        <w:rPr>
          <w:rFonts w:ascii="Arial" w:hAnsi="Arial" w:cs="Arial"/>
          <w:color w:val="010000"/>
          <w:sz w:val="20"/>
        </w:rPr>
        <w:t>TTr.HDQT</w:t>
      </w:r>
      <w:proofErr w:type="spellEnd"/>
      <w:r w:rsidRPr="00BA54DC">
        <w:rPr>
          <w:rFonts w:ascii="Arial" w:hAnsi="Arial" w:cs="Arial"/>
          <w:color w:val="010000"/>
          <w:sz w:val="20"/>
        </w:rPr>
        <w:t xml:space="preserve"> dated March 15, 2024 attached to this General Mandate.</w:t>
      </w:r>
    </w:p>
    <w:p w14:paraId="332D1460" w14:textId="77777777" w:rsidR="001C22E6" w:rsidRPr="00BA54DC" w:rsidRDefault="0029795A" w:rsidP="00AD1778">
      <w:pPr>
        <w:keepNext/>
        <w:numPr>
          <w:ilvl w:val="0"/>
          <w:numId w:val="13"/>
        </w:numPr>
        <w:tabs>
          <w:tab w:val="left" w:pos="432"/>
        </w:tabs>
        <w:spacing w:after="120" w:line="360" w:lineRule="auto"/>
        <w:ind w:left="0" w:firstLine="0"/>
        <w:jc w:val="both"/>
        <w:rPr>
          <w:rFonts w:ascii="Arial" w:hAnsi="Arial" w:cs="Arial"/>
          <w:color w:val="010000"/>
          <w:sz w:val="20"/>
        </w:rPr>
      </w:pPr>
      <w:r w:rsidRPr="00BA54DC">
        <w:rPr>
          <w:rFonts w:ascii="Arial" w:hAnsi="Arial" w:cs="Arial"/>
          <w:color w:val="010000"/>
          <w:sz w:val="20"/>
        </w:rPr>
        <w:t>Profit distribution and dividend payment plan for 2023</w:t>
      </w:r>
    </w:p>
    <w:p w14:paraId="63736823" w14:textId="7B3A31E9" w:rsidR="001C22E6" w:rsidRPr="00BA54DC" w:rsidRDefault="0029795A" w:rsidP="00AD1778">
      <w:pP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Based on the results of production and business activities in 2023, the Board of Directors submits to the </w:t>
      </w:r>
      <w:r w:rsidR="00AD1778">
        <w:rPr>
          <w:rFonts w:ascii="Arial" w:hAnsi="Arial" w:cs="Arial"/>
          <w:color w:val="010000"/>
          <w:sz w:val="20"/>
        </w:rPr>
        <w:t>General Meeting</w:t>
      </w:r>
      <w:r w:rsidRPr="00BA54DC">
        <w:rPr>
          <w:rFonts w:ascii="Arial" w:hAnsi="Arial" w:cs="Arial"/>
          <w:color w:val="010000"/>
          <w:sz w:val="20"/>
        </w:rPr>
        <w:t xml:space="preserve"> to decide on dividend payment in 2023. Specifically:</w:t>
      </w:r>
    </w:p>
    <w:p w14:paraId="5D6EE892" w14:textId="4F3541CA" w:rsidR="001C22E6" w:rsidRPr="00BA54DC" w:rsidRDefault="0029795A" w:rsidP="00AD1778">
      <w:pPr>
        <w:numPr>
          <w:ilvl w:val="0"/>
          <w:numId w:val="10"/>
        </w:numPr>
        <w:tabs>
          <w:tab w:val="left" w:pos="432"/>
          <w:tab w:val="left" w:pos="712"/>
        </w:tabs>
        <w:spacing w:after="120" w:line="360" w:lineRule="auto"/>
        <w:jc w:val="both"/>
        <w:rPr>
          <w:rFonts w:ascii="Arial" w:hAnsi="Arial" w:cs="Arial"/>
          <w:color w:val="010000"/>
          <w:sz w:val="20"/>
        </w:rPr>
      </w:pPr>
      <w:r w:rsidRPr="00BA54DC">
        <w:rPr>
          <w:rFonts w:ascii="Arial" w:hAnsi="Arial" w:cs="Arial"/>
          <w:color w:val="010000"/>
          <w:sz w:val="20"/>
        </w:rPr>
        <w:t xml:space="preserve">Round 1 (paid): Exercise rate: 85%/share (Shareholders </w:t>
      </w:r>
      <w:r w:rsidR="008760E8" w:rsidRPr="00BA54DC">
        <w:rPr>
          <w:rFonts w:ascii="Arial" w:hAnsi="Arial" w:cs="Arial"/>
          <w:color w:val="010000"/>
          <w:sz w:val="20"/>
        </w:rPr>
        <w:t>receive</w:t>
      </w:r>
      <w:r w:rsidRPr="00BA54DC">
        <w:rPr>
          <w:rFonts w:ascii="Arial" w:hAnsi="Arial" w:cs="Arial"/>
          <w:color w:val="010000"/>
          <w:sz w:val="20"/>
        </w:rPr>
        <w:t xml:space="preserve"> VND 8,500 for every share they own)</w:t>
      </w:r>
    </w:p>
    <w:p w14:paraId="02DD0B6D" w14:textId="77777777" w:rsidR="001C22E6" w:rsidRPr="00BA54DC" w:rsidRDefault="0029795A" w:rsidP="00AD1778">
      <w:pPr>
        <w:numPr>
          <w:ilvl w:val="0"/>
          <w:numId w:val="10"/>
        </w:numPr>
        <w:tabs>
          <w:tab w:val="left" w:pos="432"/>
          <w:tab w:val="left" w:pos="712"/>
        </w:tabs>
        <w:spacing w:after="120" w:line="360" w:lineRule="auto"/>
        <w:jc w:val="both"/>
        <w:rPr>
          <w:rFonts w:ascii="Arial" w:hAnsi="Arial" w:cs="Arial"/>
          <w:color w:val="010000"/>
          <w:sz w:val="20"/>
        </w:rPr>
      </w:pPr>
      <w:r w:rsidRPr="00BA54DC">
        <w:rPr>
          <w:rFonts w:ascii="Arial" w:hAnsi="Arial" w:cs="Arial"/>
          <w:color w:val="010000"/>
          <w:sz w:val="20"/>
        </w:rPr>
        <w:t>Round 2: Authorize the Board of Directors to decide on the distribution rate, time, payment method and other issues and procedures related to the payment of dividends in round 2 to shareholders.</w:t>
      </w:r>
    </w:p>
    <w:p w14:paraId="750BF4AA" w14:textId="77777777" w:rsidR="001C22E6" w:rsidRPr="00BA54DC" w:rsidRDefault="0029795A" w:rsidP="00AD1778">
      <w:pPr>
        <w:keepNext/>
        <w:numPr>
          <w:ilvl w:val="0"/>
          <w:numId w:val="11"/>
        </w:numPr>
        <w:tabs>
          <w:tab w:val="left" w:pos="432"/>
          <w:tab w:val="left" w:pos="712"/>
        </w:tabs>
        <w:spacing w:after="120" w:line="360" w:lineRule="auto"/>
        <w:jc w:val="both"/>
        <w:rPr>
          <w:rFonts w:ascii="Arial" w:hAnsi="Arial" w:cs="Arial"/>
          <w:color w:val="010000"/>
          <w:sz w:val="20"/>
        </w:rPr>
      </w:pPr>
      <w:r w:rsidRPr="00BA54DC">
        <w:rPr>
          <w:rFonts w:ascii="Arial" w:hAnsi="Arial" w:cs="Arial"/>
          <w:color w:val="010000"/>
          <w:sz w:val="20"/>
        </w:rPr>
        <w:t>Profit distribution plan in 2024</w:t>
      </w:r>
    </w:p>
    <w:p w14:paraId="66B61412" w14:textId="33BA83C0" w:rsidR="001C22E6" w:rsidRPr="00BA54DC" w:rsidRDefault="0029795A" w:rsidP="00AD1778">
      <w:pP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The Board of Directors respectfully submits to the </w:t>
      </w:r>
      <w:r w:rsidR="00AD1778">
        <w:rPr>
          <w:rFonts w:ascii="Arial" w:hAnsi="Arial" w:cs="Arial"/>
          <w:color w:val="010000"/>
          <w:sz w:val="20"/>
        </w:rPr>
        <w:t>General Meeting</w:t>
      </w:r>
      <w:r w:rsidRPr="00BA54DC">
        <w:rPr>
          <w:rFonts w:ascii="Arial" w:hAnsi="Arial" w:cs="Arial"/>
          <w:color w:val="010000"/>
          <w:sz w:val="20"/>
        </w:rPr>
        <w:t xml:space="preserve"> to approve the expected profit distribution plan for 2024 as follows:</w:t>
      </w:r>
    </w:p>
    <w:p w14:paraId="722CE01C" w14:textId="77777777" w:rsidR="001C22E6" w:rsidRPr="00BA54DC" w:rsidRDefault="0029795A" w:rsidP="00AD1778">
      <w:pPr>
        <w:numPr>
          <w:ilvl w:val="0"/>
          <w:numId w:val="10"/>
        </w:numPr>
        <w:tabs>
          <w:tab w:val="left" w:pos="432"/>
        </w:tabs>
        <w:spacing w:after="120" w:line="360" w:lineRule="auto"/>
        <w:jc w:val="both"/>
        <w:rPr>
          <w:rFonts w:ascii="Arial" w:hAnsi="Arial" w:cs="Arial"/>
          <w:color w:val="010000"/>
          <w:sz w:val="20"/>
        </w:rPr>
      </w:pPr>
      <w:r w:rsidRPr="00BA54DC">
        <w:rPr>
          <w:rFonts w:ascii="Arial" w:hAnsi="Arial" w:cs="Arial"/>
          <w:color w:val="010000"/>
          <w:sz w:val="20"/>
        </w:rPr>
        <w:t>Approve dividend distribution in 2024: Authorize the Board of Directors, based on the Company's business results and business plans at each time and ensuring cash flow optimization, to have full authority to decide on all issues related to the dividend distribution 2024, including prepaying or not prepaying dividends, dividend prepayment rate, time, payment method and other issues and procedures related to dividend prepayment to shareholders.</w:t>
      </w:r>
    </w:p>
    <w:p w14:paraId="63FDA312"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8. Approve the content of supplementing the Company's business lines according to Proposal No. 005/2024/</w:t>
      </w:r>
      <w:proofErr w:type="spellStart"/>
      <w:r w:rsidRPr="00BA54DC">
        <w:rPr>
          <w:rFonts w:ascii="Arial" w:hAnsi="Arial" w:cs="Arial"/>
          <w:color w:val="010000"/>
          <w:sz w:val="20"/>
        </w:rPr>
        <w:t>TTr.HDQT</w:t>
      </w:r>
      <w:proofErr w:type="spellEnd"/>
      <w:r w:rsidRPr="00BA54DC">
        <w:rPr>
          <w:rFonts w:ascii="Arial" w:hAnsi="Arial" w:cs="Arial"/>
          <w:color w:val="010000"/>
          <w:sz w:val="20"/>
        </w:rPr>
        <w:t xml:space="preserve"> dated March 15, 2024 attached to this General Mandate.</w:t>
      </w:r>
    </w:p>
    <w:p w14:paraId="1465E014"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9. Approve the content of adjusting the Company's Charter according to Proposal No. 006/2024/</w:t>
      </w:r>
      <w:proofErr w:type="spellStart"/>
      <w:r w:rsidRPr="00BA54DC">
        <w:rPr>
          <w:rFonts w:ascii="Arial" w:hAnsi="Arial" w:cs="Arial"/>
          <w:color w:val="010000"/>
          <w:sz w:val="20"/>
        </w:rPr>
        <w:t>TTr.HDQT</w:t>
      </w:r>
      <w:proofErr w:type="spellEnd"/>
      <w:r w:rsidRPr="00BA54DC">
        <w:rPr>
          <w:rFonts w:ascii="Arial" w:hAnsi="Arial" w:cs="Arial"/>
          <w:color w:val="010000"/>
          <w:sz w:val="20"/>
        </w:rPr>
        <w:t xml:space="preserve"> dated March 15, 2024 attached to this General Mandate.</w:t>
      </w:r>
    </w:p>
    <w:p w14:paraId="23522061"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10. Approve the content of Adjusting the Project's implementation progress: International Dairy Products Joint Stock Company - </w:t>
      </w:r>
      <w:proofErr w:type="spellStart"/>
      <w:r w:rsidRPr="00BA54DC">
        <w:rPr>
          <w:rFonts w:ascii="Arial" w:hAnsi="Arial" w:cs="Arial"/>
          <w:color w:val="010000"/>
          <w:sz w:val="20"/>
        </w:rPr>
        <w:t>Binh</w:t>
      </w:r>
      <w:proofErr w:type="spellEnd"/>
      <w:r w:rsidRPr="00BA54DC">
        <w:rPr>
          <w:rFonts w:ascii="Arial" w:hAnsi="Arial" w:cs="Arial"/>
          <w:color w:val="010000"/>
          <w:sz w:val="20"/>
        </w:rPr>
        <w:t xml:space="preserve"> Duong Branch according to Proposal No. 007/2024/</w:t>
      </w:r>
      <w:proofErr w:type="spellStart"/>
      <w:r w:rsidRPr="00BA54DC">
        <w:rPr>
          <w:rFonts w:ascii="Arial" w:hAnsi="Arial" w:cs="Arial"/>
          <w:color w:val="010000"/>
          <w:sz w:val="20"/>
        </w:rPr>
        <w:t>TTr.HDQT</w:t>
      </w:r>
      <w:proofErr w:type="spellEnd"/>
      <w:r w:rsidRPr="00BA54DC">
        <w:rPr>
          <w:rFonts w:ascii="Arial" w:hAnsi="Arial" w:cs="Arial"/>
          <w:color w:val="010000"/>
          <w:sz w:val="20"/>
        </w:rPr>
        <w:t xml:space="preserve"> dated March 15, 2024 attached to this General Mandate.</w:t>
      </w:r>
    </w:p>
    <w:p w14:paraId="20B0FD29" w14:textId="6E37886B" w:rsidR="001C22E6" w:rsidRPr="00BA54DC" w:rsidRDefault="0029795A" w:rsidP="00AD177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BA54DC">
        <w:rPr>
          <w:rFonts w:ascii="Arial" w:hAnsi="Arial" w:cs="Arial"/>
          <w:color w:val="010000"/>
          <w:sz w:val="20"/>
        </w:rPr>
        <w:t xml:space="preserve">Article 11. This General Mandate takes effect from the </w:t>
      </w:r>
      <w:r w:rsidR="00A23572" w:rsidRPr="00BA54DC">
        <w:rPr>
          <w:rFonts w:ascii="Arial" w:hAnsi="Arial" w:cs="Arial"/>
          <w:color w:val="010000"/>
          <w:sz w:val="20"/>
        </w:rPr>
        <w:t>date of its signing</w:t>
      </w:r>
      <w:r w:rsidRPr="00BA54DC">
        <w:rPr>
          <w:rFonts w:ascii="Arial" w:hAnsi="Arial" w:cs="Arial"/>
          <w:color w:val="010000"/>
          <w:sz w:val="20"/>
        </w:rPr>
        <w:t>, and is made in 03 (three) original copies kept at the Company's headquarters.</w:t>
      </w:r>
    </w:p>
    <w:p w14:paraId="01A057EC" w14:textId="5F00ADDB" w:rsidR="007A7E34" w:rsidRPr="00BA54DC" w:rsidRDefault="007A7E34" w:rsidP="00AD1778">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szCs w:val="20"/>
        </w:rPr>
      </w:pPr>
    </w:p>
    <w:p w14:paraId="58470E37"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lastRenderedPageBreak/>
        <w:t>On March 15, 2024, International Dairy Products Joint Stock Company announced General Mandate No. 001A.2024/NQ.DHDCD.IDP as follows:</w:t>
      </w:r>
    </w:p>
    <w:p w14:paraId="38F92AF9"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1: Approve changing the name and head office address of the Company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4"/>
        <w:gridCol w:w="3716"/>
        <w:gridCol w:w="3449"/>
      </w:tblGrid>
      <w:tr w:rsidR="001C22E6" w:rsidRPr="00BA54DC" w14:paraId="3C923D46" w14:textId="77777777" w:rsidTr="00FF5B50">
        <w:tc>
          <w:tcPr>
            <w:tcW w:w="1028" w:type="pct"/>
            <w:shd w:val="clear" w:color="auto" w:fill="auto"/>
            <w:vAlign w:val="center"/>
          </w:tcPr>
          <w:p w14:paraId="49F267E0"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Items</w:t>
            </w:r>
          </w:p>
        </w:tc>
        <w:tc>
          <w:tcPr>
            <w:tcW w:w="2060" w:type="pct"/>
            <w:shd w:val="clear" w:color="auto" w:fill="auto"/>
            <w:vAlign w:val="center"/>
          </w:tcPr>
          <w:p w14:paraId="7387D8E9"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Before the change</w:t>
            </w:r>
          </w:p>
        </w:tc>
        <w:tc>
          <w:tcPr>
            <w:tcW w:w="1912" w:type="pct"/>
            <w:shd w:val="clear" w:color="auto" w:fill="auto"/>
            <w:vAlign w:val="center"/>
          </w:tcPr>
          <w:p w14:paraId="3D9948FF"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After the change</w:t>
            </w:r>
          </w:p>
        </w:tc>
      </w:tr>
      <w:tr w:rsidR="001C22E6" w:rsidRPr="00BA54DC" w14:paraId="48B08FF6" w14:textId="77777777" w:rsidTr="00FF5B50">
        <w:tc>
          <w:tcPr>
            <w:tcW w:w="1028" w:type="pct"/>
            <w:shd w:val="clear" w:color="auto" w:fill="auto"/>
            <w:vAlign w:val="center"/>
          </w:tcPr>
          <w:p w14:paraId="514569B7"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Company’s name</w:t>
            </w:r>
          </w:p>
        </w:tc>
        <w:tc>
          <w:tcPr>
            <w:tcW w:w="2060" w:type="pct"/>
            <w:shd w:val="clear" w:color="auto" w:fill="auto"/>
            <w:vAlign w:val="center"/>
          </w:tcPr>
          <w:p w14:paraId="6EF56FAA" w14:textId="01770D9F"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BA54DC">
              <w:rPr>
                <w:rFonts w:ascii="Arial" w:hAnsi="Arial" w:cs="Arial"/>
                <w:color w:val="010000"/>
                <w:sz w:val="20"/>
              </w:rPr>
              <w:t>C</w:t>
            </w:r>
            <w:r w:rsidR="00FF5B50" w:rsidRPr="00BA54DC">
              <w:rPr>
                <w:rFonts w:ascii="Arial" w:hAnsi="Arial" w:cs="Arial"/>
                <w:color w:val="010000"/>
                <w:sz w:val="20"/>
              </w:rPr>
              <w:t>ô</w:t>
            </w:r>
            <w:r w:rsidRPr="00BA54DC">
              <w:rPr>
                <w:rFonts w:ascii="Arial" w:hAnsi="Arial" w:cs="Arial"/>
                <w:color w:val="010000"/>
                <w:sz w:val="20"/>
              </w:rPr>
              <w:t>ng</w:t>
            </w:r>
            <w:proofErr w:type="spellEnd"/>
            <w:r w:rsidRPr="00BA54DC">
              <w:rPr>
                <w:rFonts w:ascii="Arial" w:hAnsi="Arial" w:cs="Arial"/>
                <w:color w:val="010000"/>
                <w:sz w:val="20"/>
              </w:rPr>
              <w:t xml:space="preserve"> ty </w:t>
            </w:r>
            <w:proofErr w:type="spellStart"/>
            <w:r w:rsidRPr="00BA54DC">
              <w:rPr>
                <w:rFonts w:ascii="Arial" w:hAnsi="Arial" w:cs="Arial"/>
                <w:color w:val="010000"/>
                <w:sz w:val="20"/>
              </w:rPr>
              <w:t>Cổ</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phần</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Sữa</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quốc</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tế</w:t>
            </w:r>
            <w:proofErr w:type="spellEnd"/>
          </w:p>
        </w:tc>
        <w:tc>
          <w:tcPr>
            <w:tcW w:w="1912" w:type="pct"/>
            <w:shd w:val="clear" w:color="auto" w:fill="auto"/>
            <w:vAlign w:val="center"/>
          </w:tcPr>
          <w:p w14:paraId="4CE357EA" w14:textId="50F4B7AE" w:rsidR="001C22E6" w:rsidRPr="00BA54DC" w:rsidRDefault="0029795A" w:rsidP="00A2357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BA54DC">
              <w:rPr>
                <w:rFonts w:ascii="Arial" w:hAnsi="Arial" w:cs="Arial"/>
                <w:color w:val="010000"/>
                <w:sz w:val="20"/>
              </w:rPr>
              <w:t>C</w:t>
            </w:r>
            <w:r w:rsidR="00FF5B50" w:rsidRPr="00BA54DC">
              <w:rPr>
                <w:rFonts w:ascii="Arial" w:hAnsi="Arial" w:cs="Arial"/>
                <w:color w:val="010000"/>
                <w:sz w:val="20"/>
              </w:rPr>
              <w:t>ô</w:t>
            </w:r>
            <w:r w:rsidRPr="00BA54DC">
              <w:rPr>
                <w:rFonts w:ascii="Arial" w:hAnsi="Arial" w:cs="Arial"/>
                <w:color w:val="010000"/>
                <w:sz w:val="20"/>
              </w:rPr>
              <w:t>ng</w:t>
            </w:r>
            <w:proofErr w:type="spellEnd"/>
            <w:r w:rsidRPr="00BA54DC">
              <w:rPr>
                <w:rFonts w:ascii="Arial" w:hAnsi="Arial" w:cs="Arial"/>
                <w:color w:val="010000"/>
                <w:sz w:val="20"/>
              </w:rPr>
              <w:t xml:space="preserve"> ty </w:t>
            </w:r>
            <w:proofErr w:type="spellStart"/>
            <w:r w:rsidRPr="00BA54DC">
              <w:rPr>
                <w:rFonts w:ascii="Arial" w:hAnsi="Arial" w:cs="Arial"/>
                <w:color w:val="010000"/>
                <w:sz w:val="20"/>
              </w:rPr>
              <w:t>Cổ</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phần</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Sữa</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quốc</w:t>
            </w:r>
            <w:proofErr w:type="spellEnd"/>
            <w:r w:rsidRPr="00BA54DC">
              <w:rPr>
                <w:rFonts w:ascii="Arial" w:hAnsi="Arial" w:cs="Arial"/>
                <w:color w:val="010000"/>
                <w:sz w:val="20"/>
              </w:rPr>
              <w:t xml:space="preserve"> </w:t>
            </w:r>
            <w:proofErr w:type="spellStart"/>
            <w:r w:rsidRPr="00BA54DC">
              <w:rPr>
                <w:rFonts w:ascii="Arial" w:hAnsi="Arial" w:cs="Arial"/>
                <w:color w:val="010000"/>
                <w:sz w:val="20"/>
              </w:rPr>
              <w:t>tế</w:t>
            </w:r>
            <w:proofErr w:type="spellEnd"/>
            <w:r w:rsidR="00A23572" w:rsidRPr="00BA54DC">
              <w:rPr>
                <w:rFonts w:ascii="Arial" w:hAnsi="Arial" w:cs="Arial" w:hint="eastAsia"/>
                <w:color w:val="010000"/>
                <w:sz w:val="20"/>
              </w:rPr>
              <w:t xml:space="preserve"> </w:t>
            </w:r>
            <w:proofErr w:type="spellStart"/>
            <w:r w:rsidRPr="00BA54DC">
              <w:rPr>
                <w:rFonts w:ascii="Arial" w:hAnsi="Arial" w:cs="Arial"/>
                <w:color w:val="010000"/>
                <w:sz w:val="20"/>
              </w:rPr>
              <w:t>Lof</w:t>
            </w:r>
            <w:proofErr w:type="spellEnd"/>
          </w:p>
        </w:tc>
      </w:tr>
      <w:tr w:rsidR="001C22E6" w:rsidRPr="00BA54DC" w14:paraId="7CBD76BE" w14:textId="77777777" w:rsidTr="00FF5B50">
        <w:tc>
          <w:tcPr>
            <w:tcW w:w="1028" w:type="pct"/>
            <w:shd w:val="clear" w:color="auto" w:fill="auto"/>
            <w:vAlign w:val="center"/>
          </w:tcPr>
          <w:p w14:paraId="388FB60C"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English name</w:t>
            </w:r>
          </w:p>
        </w:tc>
        <w:tc>
          <w:tcPr>
            <w:tcW w:w="2060" w:type="pct"/>
            <w:shd w:val="clear" w:color="auto" w:fill="auto"/>
            <w:vAlign w:val="center"/>
          </w:tcPr>
          <w:p w14:paraId="7C47B07D"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International Dairy Products Joint Stock Company</w:t>
            </w:r>
          </w:p>
        </w:tc>
        <w:tc>
          <w:tcPr>
            <w:tcW w:w="1912" w:type="pct"/>
            <w:shd w:val="clear" w:color="auto" w:fill="auto"/>
            <w:vAlign w:val="center"/>
          </w:tcPr>
          <w:p w14:paraId="654AAC36"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BA54DC">
              <w:rPr>
                <w:rFonts w:ascii="Arial" w:hAnsi="Arial" w:cs="Arial"/>
                <w:color w:val="010000"/>
                <w:sz w:val="20"/>
              </w:rPr>
              <w:t>Lof</w:t>
            </w:r>
            <w:proofErr w:type="spellEnd"/>
            <w:r w:rsidRPr="00BA54DC">
              <w:rPr>
                <w:rFonts w:ascii="Arial" w:hAnsi="Arial" w:cs="Arial"/>
                <w:color w:val="010000"/>
                <w:sz w:val="20"/>
              </w:rPr>
              <w:t xml:space="preserve"> International Dairy Products Joint Stock Company</w:t>
            </w:r>
          </w:p>
        </w:tc>
      </w:tr>
      <w:tr w:rsidR="001C22E6" w:rsidRPr="00BA54DC" w14:paraId="2199E3E8" w14:textId="77777777" w:rsidTr="00FF5B50">
        <w:tc>
          <w:tcPr>
            <w:tcW w:w="1028" w:type="pct"/>
            <w:shd w:val="clear" w:color="auto" w:fill="auto"/>
            <w:vAlign w:val="center"/>
          </w:tcPr>
          <w:p w14:paraId="0B816325"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Abbreviated name:</w:t>
            </w:r>
          </w:p>
        </w:tc>
        <w:tc>
          <w:tcPr>
            <w:tcW w:w="2060" w:type="pct"/>
            <w:shd w:val="clear" w:color="auto" w:fill="auto"/>
            <w:vAlign w:val="center"/>
          </w:tcPr>
          <w:p w14:paraId="7DC52953"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IDP., JSC</w:t>
            </w:r>
          </w:p>
        </w:tc>
        <w:tc>
          <w:tcPr>
            <w:tcW w:w="1912" w:type="pct"/>
            <w:shd w:val="clear" w:color="auto" w:fill="auto"/>
            <w:vAlign w:val="center"/>
          </w:tcPr>
          <w:p w14:paraId="0FCF5FC6"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LOF., JSC</w:t>
            </w:r>
          </w:p>
        </w:tc>
      </w:tr>
      <w:tr w:rsidR="001C22E6" w:rsidRPr="00BA54DC" w14:paraId="3E9ED0FC" w14:textId="77777777" w:rsidTr="00FF5B50">
        <w:tc>
          <w:tcPr>
            <w:tcW w:w="1028" w:type="pct"/>
            <w:shd w:val="clear" w:color="auto" w:fill="auto"/>
            <w:vAlign w:val="center"/>
          </w:tcPr>
          <w:p w14:paraId="27C8FEDE"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Head office</w:t>
            </w:r>
          </w:p>
        </w:tc>
        <w:tc>
          <w:tcPr>
            <w:tcW w:w="2060" w:type="pct"/>
            <w:shd w:val="clear" w:color="auto" w:fill="auto"/>
            <w:vAlign w:val="center"/>
          </w:tcPr>
          <w:p w14:paraId="64E65E57"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Duc Thinh Village, Tan Linh Commune, Ba Vi District, Hanoi City, Vietnam</w:t>
            </w:r>
          </w:p>
        </w:tc>
        <w:tc>
          <w:tcPr>
            <w:tcW w:w="1912" w:type="pct"/>
            <w:shd w:val="clear" w:color="auto" w:fill="auto"/>
            <w:vAlign w:val="center"/>
          </w:tcPr>
          <w:p w14:paraId="74BE2BAF"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Lot C-13A-CN, N16 Road, Expanded </w:t>
            </w:r>
            <w:proofErr w:type="spellStart"/>
            <w:r w:rsidRPr="00BA54DC">
              <w:rPr>
                <w:rFonts w:ascii="Arial" w:hAnsi="Arial" w:cs="Arial"/>
                <w:color w:val="010000"/>
                <w:sz w:val="20"/>
              </w:rPr>
              <w:t>Bau</w:t>
            </w:r>
            <w:proofErr w:type="spellEnd"/>
            <w:r w:rsidRPr="00BA54DC">
              <w:rPr>
                <w:rFonts w:ascii="Arial" w:hAnsi="Arial" w:cs="Arial"/>
                <w:color w:val="010000"/>
                <w:sz w:val="20"/>
              </w:rPr>
              <w:t xml:space="preserve"> Bang Industrial Park, Long Tan Commune, </w:t>
            </w:r>
            <w:proofErr w:type="spellStart"/>
            <w:r w:rsidRPr="00BA54DC">
              <w:rPr>
                <w:rFonts w:ascii="Arial" w:hAnsi="Arial" w:cs="Arial"/>
                <w:color w:val="010000"/>
                <w:sz w:val="20"/>
              </w:rPr>
              <w:t>Dau</w:t>
            </w:r>
            <w:proofErr w:type="spellEnd"/>
            <w:r w:rsidRPr="00BA54DC">
              <w:rPr>
                <w:rFonts w:ascii="Arial" w:hAnsi="Arial" w:cs="Arial"/>
                <w:color w:val="010000"/>
                <w:sz w:val="20"/>
              </w:rPr>
              <w:t xml:space="preserve"> Tieng District, </w:t>
            </w:r>
            <w:proofErr w:type="spellStart"/>
            <w:r w:rsidRPr="00BA54DC">
              <w:rPr>
                <w:rFonts w:ascii="Arial" w:hAnsi="Arial" w:cs="Arial"/>
                <w:color w:val="010000"/>
                <w:sz w:val="20"/>
              </w:rPr>
              <w:t>Binh</w:t>
            </w:r>
            <w:proofErr w:type="spellEnd"/>
            <w:r w:rsidRPr="00BA54DC">
              <w:rPr>
                <w:rFonts w:ascii="Arial" w:hAnsi="Arial" w:cs="Arial"/>
                <w:color w:val="010000"/>
                <w:sz w:val="20"/>
              </w:rPr>
              <w:t xml:space="preserve"> Duong Province, Vietnam</w:t>
            </w:r>
          </w:p>
        </w:tc>
      </w:tr>
      <w:tr w:rsidR="001C22E6" w:rsidRPr="00BA54DC" w14:paraId="1F95EBBC" w14:textId="77777777" w:rsidTr="00FF5B50">
        <w:tc>
          <w:tcPr>
            <w:tcW w:w="1028" w:type="pct"/>
            <w:shd w:val="clear" w:color="auto" w:fill="auto"/>
            <w:vAlign w:val="center"/>
          </w:tcPr>
          <w:p w14:paraId="6DC4297D"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Email</w:t>
            </w:r>
          </w:p>
        </w:tc>
        <w:tc>
          <w:tcPr>
            <w:tcW w:w="2060" w:type="pct"/>
            <w:shd w:val="clear" w:color="auto" w:fill="auto"/>
            <w:vAlign w:val="center"/>
          </w:tcPr>
          <w:p w14:paraId="1978875D" w14:textId="77777777" w:rsidR="001C22E6" w:rsidRPr="00BA54DC" w:rsidRDefault="00345B9E"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hyperlink r:id="rId6">
              <w:r w:rsidR="0029795A" w:rsidRPr="00BA54DC">
                <w:rPr>
                  <w:rFonts w:ascii="Arial" w:hAnsi="Arial" w:cs="Arial"/>
                  <w:color w:val="010000"/>
                  <w:sz w:val="20"/>
                </w:rPr>
                <w:t>suaquocte</w:t>
              </w:r>
            </w:hyperlink>
            <w:hyperlink r:id="rId7">
              <w:r w:rsidR="0029795A" w:rsidRPr="00BA54DC">
                <w:rPr>
                  <w:rFonts w:ascii="Arial" w:hAnsi="Arial" w:cs="Arial"/>
                  <w:color w:val="010000"/>
                  <w:sz w:val="20"/>
                </w:rPr>
                <w:t>@idp.vn</w:t>
              </w:r>
            </w:hyperlink>
          </w:p>
        </w:tc>
        <w:tc>
          <w:tcPr>
            <w:tcW w:w="1912" w:type="pct"/>
            <w:shd w:val="clear" w:color="auto" w:fill="auto"/>
            <w:vAlign w:val="center"/>
          </w:tcPr>
          <w:p w14:paraId="3FEDC471" w14:textId="77777777" w:rsidR="001C22E6" w:rsidRPr="00BA54DC" w:rsidRDefault="00345B9E"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hyperlink r:id="rId8">
              <w:r w:rsidR="0029795A" w:rsidRPr="00BA54DC">
                <w:rPr>
                  <w:rFonts w:ascii="Arial" w:hAnsi="Arial" w:cs="Arial"/>
                  <w:color w:val="010000"/>
                  <w:sz w:val="20"/>
                </w:rPr>
                <w:t>suaquocte</w:t>
              </w:r>
            </w:hyperlink>
            <w:hyperlink r:id="rId9">
              <w:r w:rsidR="0029795A" w:rsidRPr="00BA54DC">
                <w:rPr>
                  <w:rFonts w:ascii="Arial" w:hAnsi="Arial" w:cs="Arial"/>
                  <w:color w:val="010000"/>
                  <w:sz w:val="20"/>
                </w:rPr>
                <w:t>@lof.vn</w:t>
              </w:r>
            </w:hyperlink>
          </w:p>
        </w:tc>
      </w:tr>
      <w:tr w:rsidR="001C22E6" w:rsidRPr="00BA54DC" w14:paraId="4326D957" w14:textId="77777777" w:rsidTr="00FF5B50">
        <w:tc>
          <w:tcPr>
            <w:tcW w:w="1028" w:type="pct"/>
            <w:shd w:val="clear" w:color="auto" w:fill="auto"/>
            <w:vAlign w:val="center"/>
          </w:tcPr>
          <w:p w14:paraId="5581461D"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Website</w:t>
            </w:r>
          </w:p>
        </w:tc>
        <w:tc>
          <w:tcPr>
            <w:tcW w:w="2060" w:type="pct"/>
            <w:shd w:val="clear" w:color="auto" w:fill="auto"/>
            <w:vAlign w:val="center"/>
          </w:tcPr>
          <w:p w14:paraId="5B6BB6ED" w14:textId="77777777" w:rsidR="001C22E6" w:rsidRPr="00BA54DC" w:rsidRDefault="00345B9E"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hyperlink r:id="rId10">
              <w:r w:rsidR="0029795A" w:rsidRPr="00BA54DC">
                <w:rPr>
                  <w:rFonts w:ascii="Arial" w:hAnsi="Arial" w:cs="Arial"/>
                  <w:color w:val="010000"/>
                  <w:sz w:val="20"/>
                </w:rPr>
                <w:t>https://idp.vn</w:t>
              </w:r>
            </w:hyperlink>
          </w:p>
        </w:tc>
        <w:tc>
          <w:tcPr>
            <w:tcW w:w="1912" w:type="pct"/>
            <w:shd w:val="clear" w:color="auto" w:fill="auto"/>
            <w:vAlign w:val="center"/>
          </w:tcPr>
          <w:p w14:paraId="4E558D9F" w14:textId="77777777" w:rsidR="001C22E6" w:rsidRPr="00BA54DC" w:rsidRDefault="00345B9E"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hyperlink r:id="rId11">
              <w:r w:rsidR="0029795A" w:rsidRPr="00BA54DC">
                <w:rPr>
                  <w:rFonts w:ascii="Arial" w:hAnsi="Arial" w:cs="Arial"/>
                  <w:color w:val="010000"/>
                  <w:sz w:val="20"/>
                </w:rPr>
                <w:t>https://lof.vn</w:t>
              </w:r>
            </w:hyperlink>
          </w:p>
        </w:tc>
      </w:tr>
      <w:tr w:rsidR="001C22E6" w:rsidRPr="00BA54DC" w14:paraId="14E9A01D" w14:textId="77777777" w:rsidTr="00FF5B50">
        <w:tc>
          <w:tcPr>
            <w:tcW w:w="1028" w:type="pct"/>
            <w:shd w:val="clear" w:color="auto" w:fill="auto"/>
            <w:vAlign w:val="center"/>
          </w:tcPr>
          <w:p w14:paraId="446CAA82"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Logo</w:t>
            </w:r>
          </w:p>
        </w:tc>
        <w:tc>
          <w:tcPr>
            <w:tcW w:w="2060" w:type="pct"/>
            <w:shd w:val="clear" w:color="auto" w:fill="auto"/>
            <w:vAlign w:val="center"/>
          </w:tcPr>
          <w:p w14:paraId="17D61725" w14:textId="58707905" w:rsidR="001C22E6" w:rsidRPr="00BA54DC" w:rsidRDefault="00C105E1" w:rsidP="00FF5B50">
            <w:pPr>
              <w:tabs>
                <w:tab w:val="left" w:pos="432"/>
              </w:tabs>
              <w:spacing w:after="120" w:line="360" w:lineRule="auto"/>
              <w:rPr>
                <w:rFonts w:ascii="Arial" w:eastAsia="Arial" w:hAnsi="Arial" w:cs="Arial"/>
                <w:color w:val="010000"/>
                <w:sz w:val="20"/>
                <w:szCs w:val="20"/>
              </w:rPr>
            </w:pPr>
            <w:r w:rsidRPr="00BA54DC">
              <w:rPr>
                <w:rFonts w:ascii="Arial" w:eastAsia="Arial" w:hAnsi="Arial" w:cs="Arial"/>
                <w:noProof/>
                <w:color w:val="010000"/>
                <w:sz w:val="20"/>
                <w:szCs w:val="20"/>
                <w:lang w:eastAsia="en-US"/>
              </w:rPr>
              <w:drawing>
                <wp:inline distT="0" distB="0" distL="0" distR="0" wp14:anchorId="614F0F43" wp14:editId="37C1340E">
                  <wp:extent cx="548640" cy="549430"/>
                  <wp:effectExtent l="0" t="0" r="3810" b="3175"/>
                  <wp:docPr id="14756334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550" cy="556350"/>
                          </a:xfrm>
                          <a:prstGeom prst="rect">
                            <a:avLst/>
                          </a:prstGeom>
                          <a:noFill/>
                          <a:ln>
                            <a:noFill/>
                          </a:ln>
                        </pic:spPr>
                      </pic:pic>
                    </a:graphicData>
                  </a:graphic>
                </wp:inline>
              </w:drawing>
            </w:r>
          </w:p>
        </w:tc>
        <w:tc>
          <w:tcPr>
            <w:tcW w:w="1912" w:type="pct"/>
            <w:shd w:val="clear" w:color="auto" w:fill="auto"/>
            <w:vAlign w:val="center"/>
          </w:tcPr>
          <w:p w14:paraId="0B4298B9" w14:textId="129C3943" w:rsidR="001C22E6" w:rsidRPr="00BA54DC" w:rsidRDefault="00541DA7" w:rsidP="00FF5B50">
            <w:pPr>
              <w:tabs>
                <w:tab w:val="left" w:pos="432"/>
              </w:tabs>
              <w:spacing w:after="120" w:line="360" w:lineRule="auto"/>
              <w:rPr>
                <w:rFonts w:ascii="Arial" w:eastAsia="Arial" w:hAnsi="Arial" w:cs="Arial"/>
                <w:color w:val="010000"/>
                <w:sz w:val="20"/>
                <w:szCs w:val="20"/>
              </w:rPr>
            </w:pPr>
            <w:r w:rsidRPr="00BA54DC">
              <w:rPr>
                <w:rFonts w:ascii="Arial" w:eastAsia="Arial" w:hAnsi="Arial" w:cs="Arial"/>
                <w:noProof/>
                <w:color w:val="010000"/>
                <w:sz w:val="20"/>
                <w:szCs w:val="20"/>
                <w:lang w:eastAsia="en-US"/>
              </w:rPr>
              <w:drawing>
                <wp:inline distT="0" distB="0" distL="0" distR="0" wp14:anchorId="0E4D8CAB" wp14:editId="7B55C210">
                  <wp:extent cx="604299" cy="537525"/>
                  <wp:effectExtent l="0" t="0" r="5715" b="0"/>
                  <wp:docPr id="185635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5562" name=""/>
                          <pic:cNvPicPr/>
                        </pic:nvPicPr>
                        <pic:blipFill>
                          <a:blip r:embed="rId13">
                            <a:extLst>
                              <a:ext uri="{BEBA8EAE-BF5A-486C-A8C5-ECC9F3942E4B}">
                                <a14:imgProps xmlns:a14="http://schemas.microsoft.com/office/drawing/2010/main">
                                  <a14:imgLayer r:embed="rId14">
                                    <a14:imgEffect>
                                      <a14:backgroundRemoval t="0" b="97516" l="2210" r="97790">
                                        <a14:foregroundMark x1="37017" y1="49689" x2="60773" y2="66460"/>
                                        <a14:foregroundMark x1="60773" y1="66460" x2="48619" y2="34161"/>
                                        <a14:foregroundMark x1="48619" y1="34161" x2="54696" y2="54037"/>
                                        <a14:foregroundMark x1="67403" y1="57143" x2="67403" y2="57143"/>
                                        <a14:foregroundMark x1="53591" y1="55280" x2="53591" y2="55280"/>
                                        <a14:foregroundMark x1="79006" y1="37888" x2="70718" y2="70807"/>
                                        <a14:foregroundMark x1="70718" y1="70807" x2="19890" y2="83230"/>
                                        <a14:foregroundMark x1="19890" y1="83230" x2="22652" y2="36025"/>
                                        <a14:foregroundMark x1="22652" y1="36025" x2="82873" y2="37267"/>
                                        <a14:foregroundMark x1="82873" y1="37267" x2="74586" y2="67081"/>
                                        <a14:foregroundMark x1="74586" y1="67081" x2="68508" y2="64596"/>
                                        <a14:foregroundMark x1="82320" y1="67702" x2="53039" y2="35404"/>
                                        <a14:foregroundMark x1="53039" y1="35404" x2="43646" y2="68323"/>
                                        <a14:foregroundMark x1="43646" y1="68323" x2="61878" y2="40994"/>
                                        <a14:foregroundMark x1="61878" y1="40994" x2="18785" y2="57143"/>
                                        <a14:foregroundMark x1="18785" y1="57143" x2="23757" y2="18012"/>
                                        <a14:foregroundMark x1="76796" y1="27950" x2="70718" y2="82609"/>
                                        <a14:foregroundMark x1="70718" y1="82609" x2="20442" y2="50932"/>
                                        <a14:foregroundMark x1="20442" y1="50932" x2="86188" y2="34783"/>
                                        <a14:foregroundMark x1="86188" y1="34783" x2="23204" y2="83230"/>
                                        <a14:foregroundMark x1="23204" y1="83230" x2="2762" y2="59006"/>
                                        <a14:foregroundMark x1="2762" y1="59006" x2="2762" y2="59006"/>
                                        <a14:foregroundMark x1="70166" y1="92547" x2="29282" y2="70807"/>
                                        <a14:foregroundMark x1="29282" y1="70807" x2="37017" y2="69565"/>
                                        <a14:foregroundMark x1="62983" y1="94410" x2="31492" y2="93168"/>
                                        <a14:foregroundMark x1="31492" y1="93168" x2="34254" y2="87578"/>
                                        <a14:foregroundMark x1="54696" y1="97516" x2="48066" y2="90683"/>
                                        <a14:foregroundMark x1="42541" y1="95652" x2="46409" y2="90062"/>
                                        <a14:foregroundMark x1="44751" y1="96894" x2="17127" y2="36646"/>
                                        <a14:foregroundMark x1="9945" y1="63354" x2="7735" y2="30435"/>
                                        <a14:foregroundMark x1="7735" y1="30435" x2="23204" y2="16770"/>
                                        <a14:foregroundMark x1="4420" y1="54658" x2="9945" y2="11801"/>
                                        <a14:foregroundMark x1="9945" y1="11801" x2="9945" y2="11801"/>
                                        <a14:foregroundMark x1="9392" y1="42857" x2="20442" y2="1242"/>
                                        <a14:foregroundMark x1="20442" y1="1242" x2="20442" y2="1242"/>
                                        <a14:foregroundMark x1="2762" y1="16770" x2="54696" y2="4969"/>
                                        <a14:foregroundMark x1="54696" y1="4969" x2="61878" y2="9317"/>
                                        <a14:foregroundMark x1="19337" y1="13665" x2="64088" y2="22360"/>
                                        <a14:foregroundMark x1="64088" y1="22360" x2="70166" y2="40373"/>
                                        <a14:foregroundMark x1="57459" y1="8075" x2="84530" y2="22981"/>
                                        <a14:foregroundMark x1="84530" y1="22981" x2="85083" y2="24224"/>
                                        <a14:foregroundMark x1="56354" y1="13043" x2="95580" y2="14907"/>
                                        <a14:foregroundMark x1="95580" y1="14907" x2="97790" y2="20497"/>
                                        <a14:foregroundMark x1="79006" y1="11180" x2="93370" y2="42236"/>
                                        <a14:foregroundMark x1="93370" y1="42236" x2="82320" y2="52795"/>
                                        <a14:foregroundMark x1="97790" y1="24845" x2="92818" y2="57764"/>
                                        <a14:foregroundMark x1="92818" y1="57764" x2="87845" y2="66460"/>
                                        <a14:foregroundMark x1="96133" y1="36646" x2="82320" y2="71429"/>
                                        <a14:foregroundMark x1="82320" y1="71429" x2="68508" y2="78882"/>
                                        <a14:foregroundMark x1="93923" y1="52174" x2="96133" y2="65217"/>
                                        <a14:foregroundMark x1="95580" y1="67702" x2="68508" y2="86335"/>
                                        <a14:foregroundMark x1="90608" y1="73913" x2="60221" y2="88199"/>
                                        <a14:foregroundMark x1="86188" y1="78882" x2="61326" y2="95031"/>
                                        <a14:foregroundMark x1="23757" y1="83230" x2="34807" y2="83851"/>
                                        <a14:foregroundMark x1="29282" y1="91304" x2="12707" y2="75776"/>
                                        <a14:foregroundMark x1="25967" y1="85714" x2="25967" y2="85714"/>
                                        <a14:backgroundMark x1="98343" y1="88199" x2="98343" y2="88199"/>
                                        <a14:backgroundMark x1="91713" y1="88199" x2="91713" y2="88199"/>
                                      </a14:backgroundRemoval>
                                    </a14:imgEffect>
                                  </a14:imgLayer>
                                </a14:imgProps>
                              </a:ext>
                            </a:extLst>
                          </a:blip>
                          <a:stretch>
                            <a:fillRect/>
                          </a:stretch>
                        </pic:blipFill>
                        <pic:spPr>
                          <a:xfrm>
                            <a:off x="0" y="0"/>
                            <a:ext cx="616456" cy="548339"/>
                          </a:xfrm>
                          <a:prstGeom prst="rect">
                            <a:avLst/>
                          </a:prstGeom>
                        </pic:spPr>
                      </pic:pic>
                    </a:graphicData>
                  </a:graphic>
                </wp:inline>
              </w:drawing>
            </w:r>
          </w:p>
        </w:tc>
      </w:tr>
    </w:tbl>
    <w:p w14:paraId="61B04722"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2: Implementation plan:</w:t>
      </w:r>
    </w:p>
    <w:p w14:paraId="42A5D1F2" w14:textId="71F2BCA0" w:rsidR="001C22E6" w:rsidRPr="00BA54DC" w:rsidRDefault="0029795A" w:rsidP="00AD1778">
      <w:pPr>
        <w:numPr>
          <w:ilvl w:val="0"/>
          <w:numId w:val="9"/>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Assign and authorize the </w:t>
      </w:r>
      <w:r w:rsidR="00AD1778">
        <w:rPr>
          <w:rFonts w:ascii="Arial" w:hAnsi="Arial" w:cs="Arial"/>
          <w:color w:val="010000"/>
          <w:sz w:val="20"/>
        </w:rPr>
        <w:t>Managing Director-cum-L</w:t>
      </w:r>
      <w:r w:rsidRPr="00BA54DC">
        <w:rPr>
          <w:rFonts w:ascii="Arial" w:hAnsi="Arial" w:cs="Arial"/>
          <w:color w:val="010000"/>
          <w:sz w:val="20"/>
        </w:rPr>
        <w:t>egal representative of the Company to carry out necessary procedures, including and not limited to:</w:t>
      </w:r>
    </w:p>
    <w:p w14:paraId="6E740EA6"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Decide on a specific time to make the adjustment;</w:t>
      </w:r>
    </w:p>
    <w:p w14:paraId="7562D90F"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Carry out adjustment procedures on the business registration certificate with the Department of Planning and Investment and on other relevant licenses/dossiers;</w:t>
      </w:r>
    </w:p>
    <w:p w14:paraId="6C2DFDDF"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Decide, build and issue the Company's new brand identity including the Company's logo, website domain name, emails, forms, publications, media....;</w:t>
      </w:r>
    </w:p>
    <w:p w14:paraId="3B7143BB"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Carry out procedures to change dossiers, legal documents, invoices, enterprise forms, and seals in accordance with current law;</w:t>
      </w:r>
    </w:p>
    <w:p w14:paraId="0340302F"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Carry out other related procedures and tasks;</w:t>
      </w:r>
    </w:p>
    <w:p w14:paraId="508526FB" w14:textId="77777777" w:rsidR="001C22E6" w:rsidRPr="00BA54DC" w:rsidRDefault="0029795A" w:rsidP="00AD1778">
      <w:pPr>
        <w:numPr>
          <w:ilvl w:val="0"/>
          <w:numId w:val="8"/>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The General Manager has the right to authorize others to perform tasks within the scope of authorization mentioned above.</w:t>
      </w:r>
    </w:p>
    <w:p w14:paraId="1F3555F6" w14:textId="77777777" w:rsidR="001C22E6" w:rsidRPr="00BA54DC" w:rsidRDefault="0029795A" w:rsidP="00AD1778">
      <w:pPr>
        <w:numPr>
          <w:ilvl w:val="0"/>
          <w:numId w:val="9"/>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BA54DC">
        <w:rPr>
          <w:rFonts w:ascii="Arial" w:hAnsi="Arial" w:cs="Arial"/>
          <w:color w:val="010000"/>
          <w:sz w:val="20"/>
        </w:rPr>
        <w:t>The time to complete the adjustment is no more than 12 months from the effective date of this General Mandate.</w:t>
      </w:r>
    </w:p>
    <w:p w14:paraId="5C2F82A0"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3: Amend Article 2 of the Company's Charter as follows:</w:t>
      </w:r>
    </w:p>
    <w:p w14:paraId="25B3202C"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lastRenderedPageBreak/>
        <w:t>“Article 2. Name, form, headquarters, branches, representative offices, business location and operating term of the Company</w:t>
      </w:r>
    </w:p>
    <w:p w14:paraId="63E60EF9" w14:textId="77777777" w:rsidR="001C22E6" w:rsidRPr="00BA54DC" w:rsidRDefault="0029795A" w:rsidP="00AD1778">
      <w:pPr>
        <w:numPr>
          <w:ilvl w:val="0"/>
          <w:numId w:val="1"/>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Company’s name</w:t>
      </w:r>
    </w:p>
    <w:p w14:paraId="0BD9623E" w14:textId="471EF2C5"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Company’s name in Vietnamese: C</w:t>
      </w:r>
      <w:r w:rsidR="00FF5B50" w:rsidRPr="00BA54DC">
        <w:rPr>
          <w:rFonts w:ascii="Arial" w:hAnsi="Arial" w:cs="Arial"/>
          <w:color w:val="010000"/>
          <w:sz w:val="20"/>
        </w:rPr>
        <w:t>Ô</w:t>
      </w:r>
      <w:r w:rsidRPr="00BA54DC">
        <w:rPr>
          <w:rFonts w:ascii="Arial" w:hAnsi="Arial" w:cs="Arial"/>
          <w:color w:val="010000"/>
          <w:sz w:val="20"/>
        </w:rPr>
        <w:t>NG TY CỔ PHẦN SỮA QUỐC TẾ LOF</w:t>
      </w:r>
    </w:p>
    <w:p w14:paraId="2D9A9AB3"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Company’s name in English: LOF INTERNATIONAL DAIRY PRODUCTS JOINT STOCK COMPANY</w:t>
      </w:r>
    </w:p>
    <w:p w14:paraId="1F2D8505"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Abbreviated name: LOF., JSC</w:t>
      </w:r>
    </w:p>
    <w:p w14:paraId="3054C8F0" w14:textId="77777777" w:rsidR="001C22E6" w:rsidRPr="00BA54DC" w:rsidRDefault="0029795A" w:rsidP="00AD1778">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The Company is a joint stock company with legal entity in accordance with current laws of Vietnam.</w:t>
      </w:r>
    </w:p>
    <w:p w14:paraId="3FAD7AE6" w14:textId="77777777" w:rsidR="001C22E6" w:rsidRPr="00BA54DC" w:rsidRDefault="0029795A" w:rsidP="00AD1778">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Company's registered office:</w:t>
      </w:r>
    </w:p>
    <w:p w14:paraId="7D50AFFA"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Head office address: Lot C-13A-CN, N16 Road, Expanded </w:t>
      </w:r>
      <w:proofErr w:type="spellStart"/>
      <w:r w:rsidRPr="00BA54DC">
        <w:rPr>
          <w:rFonts w:ascii="Arial" w:hAnsi="Arial" w:cs="Arial"/>
          <w:color w:val="010000"/>
          <w:sz w:val="20"/>
        </w:rPr>
        <w:t>Bau</w:t>
      </w:r>
      <w:proofErr w:type="spellEnd"/>
      <w:r w:rsidRPr="00BA54DC">
        <w:rPr>
          <w:rFonts w:ascii="Arial" w:hAnsi="Arial" w:cs="Arial"/>
          <w:color w:val="010000"/>
          <w:sz w:val="20"/>
        </w:rPr>
        <w:t xml:space="preserve"> Bang Industrial Park, Long Tan Commune, </w:t>
      </w:r>
      <w:proofErr w:type="spellStart"/>
      <w:r w:rsidRPr="00BA54DC">
        <w:rPr>
          <w:rFonts w:ascii="Arial" w:hAnsi="Arial" w:cs="Arial"/>
          <w:color w:val="010000"/>
          <w:sz w:val="20"/>
        </w:rPr>
        <w:t>Dau</w:t>
      </w:r>
      <w:proofErr w:type="spellEnd"/>
      <w:r w:rsidRPr="00BA54DC">
        <w:rPr>
          <w:rFonts w:ascii="Arial" w:hAnsi="Arial" w:cs="Arial"/>
          <w:color w:val="010000"/>
          <w:sz w:val="20"/>
        </w:rPr>
        <w:t xml:space="preserve"> Tieng District, </w:t>
      </w:r>
      <w:proofErr w:type="spellStart"/>
      <w:r w:rsidRPr="00BA54DC">
        <w:rPr>
          <w:rFonts w:ascii="Arial" w:hAnsi="Arial" w:cs="Arial"/>
          <w:color w:val="010000"/>
          <w:sz w:val="20"/>
        </w:rPr>
        <w:t>Binh</w:t>
      </w:r>
      <w:proofErr w:type="spellEnd"/>
      <w:r w:rsidRPr="00BA54DC">
        <w:rPr>
          <w:rFonts w:ascii="Arial" w:hAnsi="Arial" w:cs="Arial"/>
          <w:color w:val="010000"/>
          <w:sz w:val="20"/>
        </w:rPr>
        <w:t xml:space="preserve"> Duong Province, Vietnam</w:t>
      </w:r>
    </w:p>
    <w:p w14:paraId="1B7C15A4"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Phone number:</w:t>
      </w:r>
    </w:p>
    <w:p w14:paraId="0256E5F6"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Fax:</w:t>
      </w:r>
    </w:p>
    <w:p w14:paraId="5AC0B661"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E-mail: </w:t>
      </w:r>
      <w:hyperlink r:id="rId15">
        <w:r w:rsidRPr="00BA54DC">
          <w:rPr>
            <w:rFonts w:ascii="Arial" w:hAnsi="Arial" w:cs="Arial"/>
            <w:color w:val="010000"/>
            <w:sz w:val="20"/>
          </w:rPr>
          <w:t>suaquocte</w:t>
        </w:r>
      </w:hyperlink>
      <w:hyperlink r:id="rId16">
        <w:r w:rsidRPr="00BA54DC">
          <w:rPr>
            <w:rFonts w:ascii="Arial" w:hAnsi="Arial" w:cs="Arial"/>
            <w:color w:val="010000"/>
            <w:sz w:val="20"/>
          </w:rPr>
          <w:t>@lof.vn</w:t>
        </w:r>
      </w:hyperlink>
    </w:p>
    <w:p w14:paraId="2E2180EE" w14:textId="77777777" w:rsidR="001C22E6" w:rsidRPr="00BA54DC" w:rsidRDefault="0029795A" w:rsidP="00AD1778">
      <w:pPr>
        <w:numPr>
          <w:ilvl w:val="0"/>
          <w:numId w:val="8"/>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Website: </w:t>
      </w:r>
      <w:hyperlink r:id="rId17">
        <w:r w:rsidRPr="00BA54DC">
          <w:rPr>
            <w:rFonts w:ascii="Arial" w:hAnsi="Arial" w:cs="Arial"/>
            <w:color w:val="010000"/>
            <w:sz w:val="20"/>
          </w:rPr>
          <w:t>https://lof.vn</w:t>
        </w:r>
      </w:hyperlink>
    </w:p>
    <w:p w14:paraId="565C0533" w14:textId="77777777" w:rsidR="001C22E6" w:rsidRPr="00BA54DC" w:rsidRDefault="0029795A" w:rsidP="00AD1778">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The Company may establish branches and representative offices in business areas to implement the Company's operating objectives in accordance with the decisions of the Board of Directors and within the scope permitted by law.</w:t>
      </w:r>
    </w:p>
    <w:p w14:paraId="23404E18" w14:textId="0669ABCF" w:rsidR="001C22E6" w:rsidRPr="00BA54DC" w:rsidRDefault="0029795A" w:rsidP="00AD1778">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Unless terminating operations before the term specified in </w:t>
      </w:r>
      <w:r w:rsidR="00AD1778">
        <w:rPr>
          <w:rFonts w:ascii="Arial" w:hAnsi="Arial" w:cs="Arial"/>
          <w:color w:val="010000"/>
          <w:sz w:val="20"/>
        </w:rPr>
        <w:t>Section 2</w:t>
      </w:r>
      <w:r w:rsidRPr="00BA54DC">
        <w:rPr>
          <w:rFonts w:ascii="Arial" w:hAnsi="Arial" w:cs="Arial"/>
          <w:color w:val="010000"/>
          <w:sz w:val="20"/>
        </w:rPr>
        <w:t xml:space="preserve"> Article 54 or extending operations as prescribed in Article 55 of this Charter, the Company's operating term is indefinite from the date of establishment</w:t>
      </w:r>
      <w:proofErr w:type="gramStart"/>
      <w:r w:rsidRPr="00BA54DC">
        <w:rPr>
          <w:rFonts w:ascii="Arial" w:hAnsi="Arial" w:cs="Arial"/>
          <w:color w:val="010000"/>
          <w:sz w:val="20"/>
        </w:rPr>
        <w:t>. ”</w:t>
      </w:r>
      <w:proofErr w:type="gramEnd"/>
    </w:p>
    <w:p w14:paraId="7500BD04" w14:textId="440DC1FF"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4: This General Mandate takes effect from the </w:t>
      </w:r>
      <w:r w:rsidR="00A23572" w:rsidRPr="00BA54DC">
        <w:rPr>
          <w:rFonts w:ascii="Arial" w:hAnsi="Arial" w:cs="Arial"/>
          <w:color w:val="010000"/>
          <w:sz w:val="20"/>
        </w:rPr>
        <w:t>date of its signing</w:t>
      </w:r>
      <w:r w:rsidRPr="00BA54DC">
        <w:rPr>
          <w:rFonts w:ascii="Arial" w:hAnsi="Arial" w:cs="Arial"/>
          <w:color w:val="010000"/>
          <w:sz w:val="20"/>
        </w:rPr>
        <w:t>, and is made in 03 (three) original copies kept at the Company's headquarters.</w:t>
      </w:r>
    </w:p>
    <w:p w14:paraId="34059AFA" w14:textId="561732A0" w:rsidR="007A7E34" w:rsidRPr="00BA54DC" w:rsidRDefault="007A7E34" w:rsidP="00FF5B50">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5ED8E4FD" w14:textId="515B3B7A" w:rsidR="001C22E6" w:rsidRPr="00BA54DC" w:rsidRDefault="0029795A" w:rsidP="00FF5B50">
      <w:pPr>
        <w:pBdr>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On March 15, 2024, International Dairy Products Joint Stock Company announced General Mandate No. 001B.2024/NQ.DHDCD.IDP as follows:</w:t>
      </w:r>
    </w:p>
    <w:p w14:paraId="41D59F2B"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Article 1. Approve the addition of the Company's business lines, specifically: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6661"/>
        <w:gridCol w:w="1571"/>
      </w:tblGrid>
      <w:tr w:rsidR="001C22E6" w:rsidRPr="00BA54DC" w14:paraId="37F6BBFB" w14:textId="77777777" w:rsidTr="00FF5B50">
        <w:tc>
          <w:tcPr>
            <w:tcW w:w="436" w:type="pct"/>
            <w:shd w:val="clear" w:color="auto" w:fill="auto"/>
            <w:vAlign w:val="center"/>
          </w:tcPr>
          <w:p w14:paraId="3B48059F"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No.</w:t>
            </w:r>
          </w:p>
        </w:tc>
        <w:tc>
          <w:tcPr>
            <w:tcW w:w="3693" w:type="pct"/>
            <w:shd w:val="clear" w:color="auto" w:fill="auto"/>
            <w:vAlign w:val="center"/>
          </w:tcPr>
          <w:p w14:paraId="550C65CC"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Name of business line added</w:t>
            </w:r>
          </w:p>
        </w:tc>
        <w:tc>
          <w:tcPr>
            <w:tcW w:w="871" w:type="pct"/>
            <w:shd w:val="clear" w:color="auto" w:fill="auto"/>
            <w:vAlign w:val="center"/>
          </w:tcPr>
          <w:p w14:paraId="57AA366C"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Business line code</w:t>
            </w:r>
          </w:p>
        </w:tc>
      </w:tr>
      <w:tr w:rsidR="001C22E6" w:rsidRPr="00BA54DC" w14:paraId="18C3807F" w14:textId="77777777" w:rsidTr="00FF5B50">
        <w:tc>
          <w:tcPr>
            <w:tcW w:w="436" w:type="pct"/>
            <w:shd w:val="clear" w:color="auto" w:fill="auto"/>
            <w:vAlign w:val="center"/>
          </w:tcPr>
          <w:p w14:paraId="0F96517F" w14:textId="6863EEC4"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01</w:t>
            </w:r>
          </w:p>
        </w:tc>
        <w:tc>
          <w:tcPr>
            <w:tcW w:w="3693" w:type="pct"/>
            <w:shd w:val="clear" w:color="auto" w:fill="auto"/>
            <w:vAlign w:val="center"/>
          </w:tcPr>
          <w:p w14:paraId="14C1294A"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Other specialized wholesale </w:t>
            </w:r>
            <w:proofErr w:type="spellStart"/>
            <w:r w:rsidRPr="00BA54DC">
              <w:rPr>
                <w:rFonts w:ascii="Arial" w:hAnsi="Arial" w:cs="Arial"/>
                <w:color w:val="010000"/>
                <w:sz w:val="20"/>
              </w:rPr>
              <w:t>n.e.c</w:t>
            </w:r>
            <w:proofErr w:type="spellEnd"/>
          </w:p>
          <w:p w14:paraId="5159BF8B"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Details: Buying and selling packaging; buying and selling plastic products of all kinds such as bags, plastic bottles and jars; buying and selling cardboard and paper packaging; buying and selling raw materials, </w:t>
            </w:r>
            <w:r w:rsidRPr="00BA54DC">
              <w:rPr>
                <w:rFonts w:ascii="Arial" w:hAnsi="Arial" w:cs="Arial"/>
                <w:color w:val="010000"/>
                <w:sz w:val="20"/>
              </w:rPr>
              <w:lastRenderedPageBreak/>
              <w:t>flavorings, additives, and chemicals used in the food technology industry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871" w:type="pct"/>
            <w:shd w:val="clear" w:color="auto" w:fill="auto"/>
            <w:vAlign w:val="center"/>
          </w:tcPr>
          <w:p w14:paraId="7B161228" w14:textId="5CCBB1AA"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lastRenderedPageBreak/>
              <w:t>4669</w:t>
            </w:r>
          </w:p>
        </w:tc>
      </w:tr>
    </w:tbl>
    <w:p w14:paraId="1F253446" w14:textId="48E23BB8"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lastRenderedPageBreak/>
        <w:t xml:space="preserve">Article 2. Adjust </w:t>
      </w:r>
      <w:r w:rsidR="00AD1778">
        <w:rPr>
          <w:rFonts w:ascii="Arial" w:hAnsi="Arial" w:cs="Arial"/>
          <w:color w:val="010000"/>
          <w:sz w:val="20"/>
        </w:rPr>
        <w:t>Section 1</w:t>
      </w:r>
      <w:r w:rsidRPr="00BA54DC">
        <w:rPr>
          <w:rFonts w:ascii="Arial" w:hAnsi="Arial" w:cs="Arial"/>
          <w:color w:val="010000"/>
          <w:sz w:val="20"/>
        </w:rPr>
        <w:t xml:space="preserve"> Article 4 of the current Charter related to the Company's operating objectives as follows:</w:t>
      </w:r>
    </w:p>
    <w:p w14:paraId="71531461"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Article 4. The company's operating objectives</w:t>
      </w:r>
    </w:p>
    <w:p w14:paraId="1B41BADC" w14:textId="77777777" w:rsidR="001C22E6" w:rsidRPr="00BA54DC" w:rsidRDefault="0029795A" w:rsidP="00FF5B5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54DC">
        <w:rPr>
          <w:rFonts w:ascii="Arial" w:hAnsi="Arial" w:cs="Arial"/>
          <w:color w:val="010000"/>
          <w:sz w:val="20"/>
        </w:rPr>
        <w:t>Business lines of the Company</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6"/>
        <w:gridCol w:w="6562"/>
        <w:gridCol w:w="1641"/>
      </w:tblGrid>
      <w:tr w:rsidR="001C22E6" w:rsidRPr="00BA54DC" w14:paraId="70D12BB7" w14:textId="77777777" w:rsidTr="00FF5B50">
        <w:tc>
          <w:tcPr>
            <w:tcW w:w="452" w:type="pct"/>
            <w:shd w:val="clear" w:color="auto" w:fill="auto"/>
            <w:vAlign w:val="center"/>
          </w:tcPr>
          <w:p w14:paraId="43AA59DF"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No.</w:t>
            </w:r>
          </w:p>
        </w:tc>
        <w:tc>
          <w:tcPr>
            <w:tcW w:w="3638" w:type="pct"/>
            <w:shd w:val="clear" w:color="auto" w:fill="auto"/>
            <w:vAlign w:val="center"/>
          </w:tcPr>
          <w:p w14:paraId="79469294"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Name of business line</w:t>
            </w:r>
          </w:p>
        </w:tc>
        <w:tc>
          <w:tcPr>
            <w:tcW w:w="910" w:type="pct"/>
            <w:shd w:val="clear" w:color="auto" w:fill="auto"/>
            <w:vAlign w:val="center"/>
          </w:tcPr>
          <w:p w14:paraId="23723E6A"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Business line code</w:t>
            </w:r>
          </w:p>
        </w:tc>
      </w:tr>
      <w:tr w:rsidR="001C22E6" w:rsidRPr="00BA54DC" w14:paraId="44AACFBB" w14:textId="77777777" w:rsidTr="00FF5B50">
        <w:tc>
          <w:tcPr>
            <w:tcW w:w="452" w:type="pct"/>
            <w:shd w:val="clear" w:color="auto" w:fill="auto"/>
            <w:vAlign w:val="center"/>
          </w:tcPr>
          <w:p w14:paraId="23870910" w14:textId="0D6BA625"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w:t>
            </w:r>
          </w:p>
        </w:tc>
        <w:tc>
          <w:tcPr>
            <w:tcW w:w="3638" w:type="pct"/>
            <w:shd w:val="clear" w:color="auto" w:fill="auto"/>
            <w:vAlign w:val="center"/>
          </w:tcPr>
          <w:p w14:paraId="0E736EC7"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Processing milk and milk products</w:t>
            </w:r>
          </w:p>
          <w:p w14:paraId="7D6D7219"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Details: Production and processing of milk and dairy products; sell milk and dairy products produced by the Company;</w:t>
            </w:r>
          </w:p>
        </w:tc>
        <w:tc>
          <w:tcPr>
            <w:tcW w:w="910" w:type="pct"/>
            <w:shd w:val="clear" w:color="auto" w:fill="auto"/>
            <w:vAlign w:val="center"/>
          </w:tcPr>
          <w:p w14:paraId="6ABF36EB"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1050 (Main)</w:t>
            </w:r>
          </w:p>
        </w:tc>
      </w:tr>
      <w:tr w:rsidR="001C22E6" w:rsidRPr="00BA54DC" w14:paraId="5222FF22" w14:textId="77777777" w:rsidTr="00FF5B50">
        <w:tc>
          <w:tcPr>
            <w:tcW w:w="452" w:type="pct"/>
            <w:shd w:val="clear" w:color="auto" w:fill="auto"/>
            <w:vAlign w:val="center"/>
          </w:tcPr>
          <w:p w14:paraId="67F00429" w14:textId="75D195AE"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2</w:t>
            </w:r>
          </w:p>
        </w:tc>
        <w:tc>
          <w:tcPr>
            <w:tcW w:w="3638" w:type="pct"/>
            <w:shd w:val="clear" w:color="auto" w:fill="auto"/>
            <w:vAlign w:val="center"/>
          </w:tcPr>
          <w:p w14:paraId="7DDC80D1"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Production of non-alcoholic beverages and mineral water</w:t>
            </w:r>
          </w:p>
          <w:p w14:paraId="0F46CFA9"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(Details: Production of mineral water and bottled pure water; production of non-alcoholic beverages)</w:t>
            </w:r>
          </w:p>
        </w:tc>
        <w:tc>
          <w:tcPr>
            <w:tcW w:w="910" w:type="pct"/>
            <w:shd w:val="clear" w:color="auto" w:fill="auto"/>
            <w:vAlign w:val="center"/>
          </w:tcPr>
          <w:p w14:paraId="2A993214" w14:textId="046835EA"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1104</w:t>
            </w:r>
          </w:p>
        </w:tc>
      </w:tr>
      <w:tr w:rsidR="001C22E6" w:rsidRPr="00BA54DC" w14:paraId="183BCF1D" w14:textId="77777777" w:rsidTr="00FF5B50">
        <w:tc>
          <w:tcPr>
            <w:tcW w:w="452" w:type="pct"/>
            <w:shd w:val="clear" w:color="auto" w:fill="auto"/>
            <w:vAlign w:val="center"/>
          </w:tcPr>
          <w:p w14:paraId="23A29B56" w14:textId="2CE915AB"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3</w:t>
            </w:r>
          </w:p>
        </w:tc>
        <w:tc>
          <w:tcPr>
            <w:tcW w:w="3638" w:type="pct"/>
            <w:shd w:val="clear" w:color="auto" w:fill="auto"/>
            <w:vAlign w:val="center"/>
          </w:tcPr>
          <w:p w14:paraId="302DFFDF"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Wholesale of cloth, garments and footwear</w:t>
            </w:r>
          </w:p>
          <w:p w14:paraId="6FBDC861"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Details: Wholesale of garments; Wholesale of footwear; Wholesale of carpets, mattresses, blankets, curtains, bed sheets, pillows and other textiles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5EBD1E2F" w14:textId="04F11BCA"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4641</w:t>
            </w:r>
          </w:p>
        </w:tc>
      </w:tr>
      <w:tr w:rsidR="001C22E6" w:rsidRPr="00BA54DC" w14:paraId="2D383A67" w14:textId="77777777" w:rsidTr="00FF5B50">
        <w:tc>
          <w:tcPr>
            <w:tcW w:w="452" w:type="pct"/>
            <w:shd w:val="clear" w:color="auto" w:fill="auto"/>
            <w:vAlign w:val="center"/>
          </w:tcPr>
          <w:p w14:paraId="49853D70" w14:textId="30C3BF9E"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w:t>
            </w:r>
          </w:p>
        </w:tc>
        <w:tc>
          <w:tcPr>
            <w:tcW w:w="3638" w:type="pct"/>
            <w:shd w:val="clear" w:color="auto" w:fill="auto"/>
            <w:vAlign w:val="center"/>
          </w:tcPr>
          <w:p w14:paraId="1792CA7B"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Wholesale of food (except rice, cane sugar, beet sugar,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756E8D86" w14:textId="609AE2D1"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4632</w:t>
            </w:r>
          </w:p>
        </w:tc>
      </w:tr>
      <w:tr w:rsidR="001C22E6" w:rsidRPr="00BA54DC" w14:paraId="6411CACB" w14:textId="77777777" w:rsidTr="00FF5B50">
        <w:tc>
          <w:tcPr>
            <w:tcW w:w="452" w:type="pct"/>
            <w:shd w:val="clear" w:color="auto" w:fill="auto"/>
            <w:vAlign w:val="center"/>
          </w:tcPr>
          <w:p w14:paraId="61254A79" w14:textId="30FC64A3"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5</w:t>
            </w:r>
          </w:p>
        </w:tc>
        <w:tc>
          <w:tcPr>
            <w:tcW w:w="3638" w:type="pct"/>
            <w:shd w:val="clear" w:color="auto" w:fill="auto"/>
            <w:vAlign w:val="center"/>
          </w:tcPr>
          <w:p w14:paraId="6EA6E19D"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Wholesale of beverages</w:t>
            </w:r>
          </w:p>
          <w:p w14:paraId="132A4630"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Details: Wholesale of non-alcoholic beverages (except for exercising export rights, import rights, and distribution rights for goods on the List of goods that foreign investors and economic organizations with foreign investment capital are not allowed to exercise the right to export, import or distribute according to the law; particularly liquor business only operates when it meets all business conditions according to the law and </w:t>
            </w:r>
            <w:r w:rsidRPr="00BA54DC">
              <w:rPr>
                <w:rFonts w:ascii="Arial" w:hAnsi="Arial" w:cs="Arial"/>
                <w:color w:val="010000"/>
                <w:sz w:val="20"/>
              </w:rPr>
              <w:lastRenderedPageBreak/>
              <w:t>in accordance with the planning)</w:t>
            </w:r>
          </w:p>
        </w:tc>
        <w:tc>
          <w:tcPr>
            <w:tcW w:w="910" w:type="pct"/>
            <w:shd w:val="clear" w:color="auto" w:fill="auto"/>
            <w:vAlign w:val="center"/>
          </w:tcPr>
          <w:p w14:paraId="57D3668B" w14:textId="5DAD8C9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lastRenderedPageBreak/>
              <w:t>4633</w:t>
            </w:r>
          </w:p>
        </w:tc>
      </w:tr>
      <w:tr w:rsidR="001C22E6" w:rsidRPr="00BA54DC" w14:paraId="75A2E990" w14:textId="77777777" w:rsidTr="00FF5B50">
        <w:tc>
          <w:tcPr>
            <w:tcW w:w="452" w:type="pct"/>
            <w:shd w:val="clear" w:color="auto" w:fill="auto"/>
            <w:vAlign w:val="center"/>
          </w:tcPr>
          <w:p w14:paraId="199DC7F5" w14:textId="65F772B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lastRenderedPageBreak/>
              <w:t>6</w:t>
            </w:r>
          </w:p>
        </w:tc>
        <w:tc>
          <w:tcPr>
            <w:tcW w:w="3638" w:type="pct"/>
            <w:shd w:val="clear" w:color="auto" w:fill="auto"/>
            <w:vAlign w:val="center"/>
          </w:tcPr>
          <w:p w14:paraId="550CBF4B"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Wholesale of other household appliances</w:t>
            </w:r>
          </w:p>
          <w:p w14:paraId="65139069"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Details: Wholesale of suitcases, briefcases, bags, wallets, other leather and leatherette goods; Wholesale of pottery, porcelain, glass; Wholesale of household electrical appliances, lamps and electric light sets; Wholesale of fitness and sports equipment; Wholesale of perfumes, cosmetics and hygiene products; Wholesale of toy products and game products; Wholesale of other household appliances </w:t>
            </w:r>
            <w:proofErr w:type="spellStart"/>
            <w:r w:rsidRPr="00BA54DC">
              <w:rPr>
                <w:rFonts w:ascii="Arial" w:hAnsi="Arial" w:cs="Arial"/>
                <w:color w:val="010000"/>
                <w:sz w:val="20"/>
              </w:rPr>
              <w:t>n.e.c</w:t>
            </w:r>
            <w:proofErr w:type="spellEnd"/>
            <w:r w:rsidRPr="00BA54DC">
              <w:rPr>
                <w:rFonts w:ascii="Arial" w:hAnsi="Arial" w:cs="Arial"/>
                <w:color w:val="010000"/>
                <w:sz w:val="20"/>
              </w:rPr>
              <w:t xml:space="preserve"> (except books, newspapers, magazines, pharmaceuticals,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3A980920" w14:textId="60F8CBF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4649</w:t>
            </w:r>
          </w:p>
        </w:tc>
      </w:tr>
      <w:tr w:rsidR="001C22E6" w:rsidRPr="00BA54DC" w14:paraId="760E5633" w14:textId="77777777" w:rsidTr="00FF5B50">
        <w:tc>
          <w:tcPr>
            <w:tcW w:w="452" w:type="pct"/>
            <w:shd w:val="clear" w:color="auto" w:fill="auto"/>
            <w:vAlign w:val="center"/>
          </w:tcPr>
          <w:p w14:paraId="05E72A75" w14:textId="43B5BBBD"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7</w:t>
            </w:r>
          </w:p>
        </w:tc>
        <w:tc>
          <w:tcPr>
            <w:tcW w:w="3638" w:type="pct"/>
            <w:shd w:val="clear" w:color="auto" w:fill="auto"/>
            <w:vAlign w:val="center"/>
          </w:tcPr>
          <w:p w14:paraId="105488C6"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General wholesale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160FC53C" w14:textId="2DF028EA"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4690</w:t>
            </w:r>
          </w:p>
        </w:tc>
      </w:tr>
      <w:tr w:rsidR="001C22E6" w:rsidRPr="00BA54DC" w14:paraId="1D825C27" w14:textId="77777777" w:rsidTr="00FF5B50">
        <w:tc>
          <w:tcPr>
            <w:tcW w:w="452" w:type="pct"/>
            <w:shd w:val="clear" w:color="auto" w:fill="auto"/>
            <w:vAlign w:val="center"/>
          </w:tcPr>
          <w:p w14:paraId="1F0DE6B4" w14:textId="715E5805"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8</w:t>
            </w:r>
          </w:p>
        </w:tc>
        <w:tc>
          <w:tcPr>
            <w:tcW w:w="3638" w:type="pct"/>
            <w:shd w:val="clear" w:color="auto" w:fill="auto"/>
            <w:vAlign w:val="center"/>
          </w:tcPr>
          <w:p w14:paraId="73584AC0"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 of other goods via mobile mediums or at markets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1D388CE8" w14:textId="4B63AECD"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4789</w:t>
            </w:r>
          </w:p>
        </w:tc>
      </w:tr>
      <w:tr w:rsidR="001C22E6" w:rsidRPr="00BA54DC" w14:paraId="170BF769" w14:textId="77777777" w:rsidTr="00FF5B50">
        <w:tc>
          <w:tcPr>
            <w:tcW w:w="452" w:type="pct"/>
            <w:shd w:val="clear" w:color="auto" w:fill="auto"/>
            <w:vAlign w:val="center"/>
          </w:tcPr>
          <w:p w14:paraId="2D15FCAA" w14:textId="4A35D965"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9</w:t>
            </w:r>
          </w:p>
        </w:tc>
        <w:tc>
          <w:tcPr>
            <w:tcW w:w="3638" w:type="pct"/>
            <w:shd w:val="clear" w:color="auto" w:fill="auto"/>
            <w:vAlign w:val="center"/>
          </w:tcPr>
          <w:p w14:paraId="3F8ADDF3"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 by order via post or internet (excluding internet auctions)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4D718519" w14:textId="0EE1D940"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4791</w:t>
            </w:r>
          </w:p>
        </w:tc>
      </w:tr>
      <w:tr w:rsidR="001C22E6" w:rsidRPr="00BA54DC" w14:paraId="38C3AACA" w14:textId="77777777" w:rsidTr="00FF5B50">
        <w:tc>
          <w:tcPr>
            <w:tcW w:w="452" w:type="pct"/>
            <w:shd w:val="clear" w:color="auto" w:fill="auto"/>
            <w:vAlign w:val="center"/>
          </w:tcPr>
          <w:p w14:paraId="411F3D21" w14:textId="095832C3"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10</w:t>
            </w:r>
          </w:p>
        </w:tc>
        <w:tc>
          <w:tcPr>
            <w:tcW w:w="3638" w:type="pct"/>
            <w:shd w:val="clear" w:color="auto" w:fill="auto"/>
            <w:vAlign w:val="center"/>
          </w:tcPr>
          <w:p w14:paraId="6678E77D"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 of games and toys in specialized stores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475591B5" w14:textId="17A01365"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4764</w:t>
            </w:r>
          </w:p>
        </w:tc>
      </w:tr>
      <w:tr w:rsidR="001C22E6" w:rsidRPr="00BA54DC" w14:paraId="4283728F" w14:textId="77777777" w:rsidTr="00FF5B50">
        <w:tc>
          <w:tcPr>
            <w:tcW w:w="452" w:type="pct"/>
            <w:shd w:val="clear" w:color="auto" w:fill="auto"/>
            <w:vAlign w:val="center"/>
          </w:tcPr>
          <w:p w14:paraId="457BDFA6" w14:textId="7314D823"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11</w:t>
            </w:r>
          </w:p>
        </w:tc>
        <w:tc>
          <w:tcPr>
            <w:tcW w:w="3638" w:type="pct"/>
            <w:shd w:val="clear" w:color="auto" w:fill="auto"/>
            <w:vAlign w:val="center"/>
          </w:tcPr>
          <w:p w14:paraId="3C3FBC18"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 of garments, footwear, leather and leatherette goods in specialized stores</w:t>
            </w:r>
          </w:p>
          <w:p w14:paraId="741FC7EC"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Details: Garment retail; Retail of shoes, including sports shoes, clogs, and sandals of all types of materials; Retail of school bags, document briefcases, handbags of all kinds, wallets... made of leather, imitation leather or other materials; Retail of backpacks, suitcases, travel goods </w:t>
            </w:r>
            <w:r w:rsidRPr="00BA54DC">
              <w:rPr>
                <w:rFonts w:ascii="Arial" w:hAnsi="Arial" w:cs="Arial"/>
                <w:color w:val="010000"/>
                <w:sz w:val="20"/>
              </w:rPr>
              <w:lastRenderedPageBreak/>
              <w:t>made of leather, imitation leather and other materials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02459576" w14:textId="01B4BDBD"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lastRenderedPageBreak/>
              <w:t>4771</w:t>
            </w:r>
          </w:p>
        </w:tc>
      </w:tr>
      <w:tr w:rsidR="001C22E6" w:rsidRPr="00BA54DC" w14:paraId="203F7B53" w14:textId="77777777" w:rsidTr="00FF5B50">
        <w:tc>
          <w:tcPr>
            <w:tcW w:w="452" w:type="pct"/>
            <w:shd w:val="clear" w:color="auto" w:fill="auto"/>
            <w:vAlign w:val="center"/>
          </w:tcPr>
          <w:p w14:paraId="47CEB59D" w14:textId="0DDFBB6D"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lastRenderedPageBreak/>
              <w:t>12</w:t>
            </w:r>
          </w:p>
        </w:tc>
        <w:tc>
          <w:tcPr>
            <w:tcW w:w="3638" w:type="pct"/>
            <w:shd w:val="clear" w:color="auto" w:fill="auto"/>
            <w:vAlign w:val="center"/>
          </w:tcPr>
          <w:p w14:paraId="601A1476"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Retailing carpets, mattresses, blankets, drapes, curtains, wall and floor covering materials in specialized stores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638FD732" w14:textId="5B260E2E"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4753</w:t>
            </w:r>
          </w:p>
        </w:tc>
      </w:tr>
      <w:tr w:rsidR="001C22E6" w:rsidRPr="00BA54DC" w14:paraId="20932B8C" w14:textId="77777777" w:rsidTr="00FF5B50">
        <w:tc>
          <w:tcPr>
            <w:tcW w:w="452" w:type="pct"/>
            <w:shd w:val="clear" w:color="auto" w:fill="auto"/>
            <w:vAlign w:val="center"/>
          </w:tcPr>
          <w:p w14:paraId="3E6AD0AE" w14:textId="5DFAD36D"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13</w:t>
            </w:r>
          </w:p>
        </w:tc>
        <w:tc>
          <w:tcPr>
            <w:tcW w:w="3638" w:type="pct"/>
            <w:shd w:val="clear" w:color="auto" w:fill="auto"/>
            <w:vAlign w:val="center"/>
          </w:tcPr>
          <w:p w14:paraId="22D47F86"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Retail of household electrical appliances, beds, cabinets, tables, chairs and similar furniture, lamps and electric light sets, other household appliances not elsewhere classified in specialized stores</w:t>
            </w:r>
          </w:p>
          <w:p w14:paraId="4D2D0920"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Details: Retail of household electrical appliances, lamps and electric light sets in specialized stores; Retail of household appliances made of ceramic, porcelain, and glass in specialized stores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53C3FB79" w14:textId="7A8DD8D5"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4759</w:t>
            </w:r>
          </w:p>
        </w:tc>
      </w:tr>
      <w:tr w:rsidR="001C22E6" w:rsidRPr="00BA54DC" w14:paraId="107ABCF0" w14:textId="77777777" w:rsidTr="00FF5B50">
        <w:tc>
          <w:tcPr>
            <w:tcW w:w="452" w:type="pct"/>
            <w:shd w:val="clear" w:color="auto" w:fill="auto"/>
            <w:vAlign w:val="center"/>
          </w:tcPr>
          <w:p w14:paraId="48FA647D" w14:textId="2EC45439"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14</w:t>
            </w:r>
          </w:p>
        </w:tc>
        <w:tc>
          <w:tcPr>
            <w:tcW w:w="3638" w:type="pct"/>
            <w:shd w:val="clear" w:color="auto" w:fill="auto"/>
            <w:vAlign w:val="center"/>
          </w:tcPr>
          <w:p w14:paraId="48EDE5F4"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Warehousing and storage</w:t>
            </w:r>
          </w:p>
        </w:tc>
        <w:tc>
          <w:tcPr>
            <w:tcW w:w="910" w:type="pct"/>
            <w:shd w:val="clear" w:color="auto" w:fill="auto"/>
            <w:vAlign w:val="center"/>
          </w:tcPr>
          <w:p w14:paraId="699B939C" w14:textId="3CDFD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5210</w:t>
            </w:r>
          </w:p>
        </w:tc>
      </w:tr>
      <w:tr w:rsidR="001C22E6" w:rsidRPr="00BA54DC" w14:paraId="39BD571D" w14:textId="77777777" w:rsidTr="00FF5B50">
        <w:tc>
          <w:tcPr>
            <w:tcW w:w="452" w:type="pct"/>
            <w:shd w:val="clear" w:color="auto" w:fill="auto"/>
            <w:vAlign w:val="center"/>
          </w:tcPr>
          <w:p w14:paraId="4FAF00EE" w14:textId="7259B204"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15</w:t>
            </w:r>
          </w:p>
        </w:tc>
        <w:tc>
          <w:tcPr>
            <w:tcW w:w="3638" w:type="pct"/>
            <w:shd w:val="clear" w:color="auto" w:fill="auto"/>
            <w:vAlign w:val="center"/>
          </w:tcPr>
          <w:p w14:paraId="07C377B7"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 xml:space="preserve">Other specialized wholesale </w:t>
            </w:r>
            <w:proofErr w:type="spellStart"/>
            <w:r w:rsidRPr="00BA54DC">
              <w:rPr>
                <w:rFonts w:ascii="Arial" w:hAnsi="Arial" w:cs="Arial"/>
                <w:color w:val="010000"/>
                <w:sz w:val="20"/>
              </w:rPr>
              <w:t>n.e.c</w:t>
            </w:r>
            <w:proofErr w:type="spellEnd"/>
          </w:p>
          <w:p w14:paraId="70D4655E" w14:textId="77777777"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Details: Buying and selling packaging; buying and selling plastic products of all kinds such as bags, plastic bottles and jars; buying and selling cardboard and paper packaging; buying and selling raw materials, flavorings, additives, and chemicals used in the food technology industry (except for exercising export rights, import rights, and distribution rights for goods on the List of goods that foreign investors and economic organizations with foreign investment capital are not allowed to exercise the right to export, import or distribute according to the law).</w:t>
            </w:r>
          </w:p>
        </w:tc>
        <w:tc>
          <w:tcPr>
            <w:tcW w:w="910" w:type="pct"/>
            <w:shd w:val="clear" w:color="auto" w:fill="auto"/>
            <w:vAlign w:val="center"/>
          </w:tcPr>
          <w:p w14:paraId="1F41C8B4" w14:textId="760F2FB9" w:rsidR="001C22E6" w:rsidRPr="00BA54DC" w:rsidRDefault="0029795A" w:rsidP="00FF5B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54DC">
              <w:rPr>
                <w:rFonts w:ascii="Arial" w:hAnsi="Arial" w:cs="Arial"/>
                <w:color w:val="010000"/>
                <w:sz w:val="20"/>
              </w:rPr>
              <w:t>4669</w:t>
            </w:r>
          </w:p>
        </w:tc>
      </w:tr>
    </w:tbl>
    <w:p w14:paraId="2FC3D671" w14:textId="0DC862F0"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2. The </w:t>
      </w:r>
      <w:r w:rsidR="00AD1778">
        <w:rPr>
          <w:rFonts w:ascii="Arial" w:hAnsi="Arial" w:cs="Arial"/>
          <w:color w:val="010000"/>
          <w:sz w:val="20"/>
        </w:rPr>
        <w:t>General Meeting</w:t>
      </w:r>
      <w:r w:rsidRPr="00BA54DC">
        <w:rPr>
          <w:rFonts w:ascii="Arial" w:hAnsi="Arial" w:cs="Arial"/>
          <w:color w:val="010000"/>
          <w:sz w:val="20"/>
        </w:rPr>
        <w:t xml:space="preserve"> agreed to assign the </w:t>
      </w:r>
      <w:r w:rsidR="00AD1778">
        <w:rPr>
          <w:rFonts w:ascii="Arial" w:hAnsi="Arial" w:cs="Arial"/>
          <w:color w:val="010000"/>
          <w:sz w:val="20"/>
        </w:rPr>
        <w:t>Managing Director-cum-</w:t>
      </w:r>
      <w:r w:rsidRPr="00BA54DC">
        <w:rPr>
          <w:rFonts w:ascii="Arial" w:hAnsi="Arial" w:cs="Arial"/>
          <w:color w:val="010000"/>
          <w:sz w:val="20"/>
        </w:rPr>
        <w:t xml:space="preserve">Legal Representative of the Company to carry out procedures related to the addition of business lines at the Department of Planning and Investment </w:t>
      </w:r>
      <w:r w:rsidR="00AD1778">
        <w:rPr>
          <w:rFonts w:ascii="Arial" w:hAnsi="Arial" w:cs="Arial"/>
          <w:color w:val="010000"/>
          <w:sz w:val="20"/>
        </w:rPr>
        <w:t>under applicable laws</w:t>
      </w:r>
      <w:r w:rsidRPr="00BA54DC">
        <w:rPr>
          <w:rFonts w:ascii="Arial" w:hAnsi="Arial" w:cs="Arial"/>
          <w:color w:val="010000"/>
          <w:sz w:val="20"/>
        </w:rPr>
        <w:t>.</w:t>
      </w:r>
    </w:p>
    <w:p w14:paraId="58409939" w14:textId="24F9A2A4" w:rsidR="007A7E34" w:rsidRPr="00BA54DC" w:rsidRDefault="0029795A" w:rsidP="00AD177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BA54DC">
        <w:rPr>
          <w:rFonts w:ascii="Arial" w:hAnsi="Arial" w:cs="Arial"/>
          <w:color w:val="010000"/>
          <w:sz w:val="20"/>
        </w:rPr>
        <w:t xml:space="preserve">Article 3. This General Mandate takes effect from the </w:t>
      </w:r>
      <w:r w:rsidR="00A23572" w:rsidRPr="00BA54DC">
        <w:rPr>
          <w:rFonts w:ascii="Arial" w:hAnsi="Arial" w:cs="Arial"/>
          <w:color w:val="010000"/>
          <w:sz w:val="20"/>
        </w:rPr>
        <w:t>date of its signing</w:t>
      </w:r>
      <w:r w:rsidRPr="00BA54DC">
        <w:rPr>
          <w:rFonts w:ascii="Arial" w:hAnsi="Arial" w:cs="Arial"/>
          <w:color w:val="010000"/>
          <w:sz w:val="20"/>
        </w:rPr>
        <w:t>, and is made in 03 (three) original copies kept at the Company's headquarters.</w:t>
      </w:r>
    </w:p>
    <w:p w14:paraId="55092626" w14:textId="5B0950BA" w:rsidR="007A7E34" w:rsidRPr="00BA54DC" w:rsidRDefault="007A7E34" w:rsidP="00AD1778">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12A52703" w14:textId="311279C1" w:rsidR="001C22E6" w:rsidRPr="00BA54DC" w:rsidRDefault="0029795A" w:rsidP="00AD1778">
      <w:pPr>
        <w:pBdr>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lastRenderedPageBreak/>
        <w:t>On March 15, 2024, International Dairy Products Joint Stock Company announced General Mandate No. 001C.2024/NQ.DHDCD.IDP</w:t>
      </w:r>
      <w:r w:rsidR="009B16C7" w:rsidRPr="00BA54DC">
        <w:rPr>
          <w:rFonts w:ascii="Arial" w:hAnsi="Arial" w:cs="Arial"/>
          <w:color w:val="010000"/>
          <w:sz w:val="20"/>
        </w:rPr>
        <w:t xml:space="preserve"> on adjusting the implementation schedule of the project: International Dairy Products Joint Stock Company - </w:t>
      </w:r>
      <w:proofErr w:type="spellStart"/>
      <w:r w:rsidR="009B16C7" w:rsidRPr="00BA54DC">
        <w:rPr>
          <w:rFonts w:ascii="Arial" w:hAnsi="Arial" w:cs="Arial"/>
          <w:color w:val="010000"/>
          <w:sz w:val="20"/>
        </w:rPr>
        <w:t>Binh</w:t>
      </w:r>
      <w:proofErr w:type="spellEnd"/>
      <w:r w:rsidR="009B16C7" w:rsidRPr="00BA54DC">
        <w:rPr>
          <w:rFonts w:ascii="Arial" w:hAnsi="Arial" w:cs="Arial"/>
          <w:color w:val="010000"/>
          <w:sz w:val="20"/>
        </w:rPr>
        <w:t xml:space="preserve"> Duong Branch</w:t>
      </w:r>
      <w:r w:rsidRPr="00BA54DC">
        <w:rPr>
          <w:rFonts w:ascii="Arial" w:hAnsi="Arial" w:cs="Arial"/>
          <w:color w:val="010000"/>
          <w:sz w:val="20"/>
        </w:rPr>
        <w:t xml:space="preserve"> as follows:</w:t>
      </w:r>
    </w:p>
    <w:p w14:paraId="64D665B8" w14:textId="77777777"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1: Approve adjusting the implementation schedule of the project: International Dairy Products Joint Stock Company - </w:t>
      </w:r>
      <w:proofErr w:type="spellStart"/>
      <w:r w:rsidRPr="00BA54DC">
        <w:rPr>
          <w:rFonts w:ascii="Arial" w:hAnsi="Arial" w:cs="Arial"/>
          <w:color w:val="010000"/>
          <w:sz w:val="20"/>
        </w:rPr>
        <w:t>Binh</w:t>
      </w:r>
      <w:proofErr w:type="spellEnd"/>
      <w:r w:rsidRPr="00BA54DC">
        <w:rPr>
          <w:rFonts w:ascii="Arial" w:hAnsi="Arial" w:cs="Arial"/>
          <w:color w:val="010000"/>
          <w:sz w:val="20"/>
        </w:rPr>
        <w:t xml:space="preserve"> Duong Branch as follows:</w:t>
      </w:r>
    </w:p>
    <w:p w14:paraId="10093690" w14:textId="77777777" w:rsidR="001C22E6" w:rsidRPr="00BA54DC" w:rsidRDefault="0029795A" w:rsidP="00AD1778">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Registered content:</w:t>
      </w:r>
    </w:p>
    <w:p w14:paraId="4C7EE94F" w14:textId="77777777" w:rsidR="001C22E6" w:rsidRPr="00BA54DC" w:rsidRDefault="0029795A" w:rsidP="00AD177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Investment project implementation progress:</w:t>
      </w:r>
    </w:p>
    <w:p w14:paraId="3BC961FA" w14:textId="77777777" w:rsidR="001C22E6" w:rsidRPr="00BA54DC" w:rsidRDefault="0029795A" w:rsidP="00AD177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Progress of implementing the main operational objectives of the investment project:</w:t>
      </w:r>
    </w:p>
    <w:p w14:paraId="37C08B56" w14:textId="77777777" w:rsidR="001C22E6" w:rsidRPr="00BA54DC" w:rsidRDefault="0029795A" w:rsidP="00AD1778">
      <w:pPr>
        <w:numPr>
          <w:ilvl w:val="0"/>
          <w:numId w:val="8"/>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A54DC">
        <w:rPr>
          <w:rFonts w:ascii="Arial" w:hAnsi="Arial" w:cs="Arial"/>
          <w:color w:val="010000"/>
          <w:sz w:val="20"/>
        </w:rPr>
        <w:t>Capital construction progress: From Q3/2023 to Q1/2024</w:t>
      </w:r>
    </w:p>
    <w:p w14:paraId="70AE4213" w14:textId="77777777" w:rsidR="001C22E6" w:rsidRPr="00BA54DC" w:rsidRDefault="0029795A" w:rsidP="00AD1778">
      <w:pPr>
        <w:numPr>
          <w:ilvl w:val="0"/>
          <w:numId w:val="8"/>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A54DC">
        <w:rPr>
          <w:rFonts w:ascii="Arial" w:hAnsi="Arial" w:cs="Arial"/>
          <w:color w:val="010000"/>
          <w:sz w:val="20"/>
        </w:rPr>
        <w:t>Progress of machinery and equipment installation: Q2/2024</w:t>
      </w:r>
    </w:p>
    <w:p w14:paraId="6829B8F4" w14:textId="77777777" w:rsidR="001C22E6" w:rsidRPr="00BA54DC" w:rsidRDefault="0029795A" w:rsidP="00AD1778">
      <w:pPr>
        <w:numPr>
          <w:ilvl w:val="0"/>
          <w:numId w:val="8"/>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A54DC">
        <w:rPr>
          <w:rFonts w:ascii="Arial" w:hAnsi="Arial" w:cs="Arial"/>
          <w:color w:val="010000"/>
          <w:sz w:val="20"/>
        </w:rPr>
        <w:t>Progress of putting the construction into operation: Q4/2024</w:t>
      </w:r>
    </w:p>
    <w:p w14:paraId="23A951C4" w14:textId="77777777" w:rsidR="001C22E6" w:rsidRPr="00BA54DC" w:rsidRDefault="0029795A" w:rsidP="00AD1778">
      <w:pPr>
        <w:keepNext/>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Now register to change to:</w:t>
      </w:r>
    </w:p>
    <w:p w14:paraId="31B29FF9" w14:textId="77777777" w:rsidR="001C22E6" w:rsidRPr="00BA54DC" w:rsidRDefault="0029795A" w:rsidP="00AD177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Investment project implementation progress:</w:t>
      </w:r>
    </w:p>
    <w:p w14:paraId="2CAFF025" w14:textId="77777777" w:rsidR="001C22E6" w:rsidRPr="00BA54DC" w:rsidRDefault="0029795A" w:rsidP="00AD177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54DC">
        <w:rPr>
          <w:rFonts w:ascii="Arial" w:hAnsi="Arial" w:cs="Arial"/>
          <w:color w:val="010000"/>
          <w:sz w:val="20"/>
        </w:rPr>
        <w:t>Progress of implementing the main operational objectives of the investment project:</w:t>
      </w:r>
    </w:p>
    <w:p w14:paraId="749C895D" w14:textId="77777777" w:rsidR="001C22E6" w:rsidRPr="00BA54DC" w:rsidRDefault="0029795A" w:rsidP="00AD1778">
      <w:pPr>
        <w:numPr>
          <w:ilvl w:val="0"/>
          <w:numId w:val="8"/>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A54DC">
        <w:rPr>
          <w:rFonts w:ascii="Arial" w:hAnsi="Arial" w:cs="Arial"/>
          <w:color w:val="010000"/>
          <w:sz w:val="20"/>
        </w:rPr>
        <w:t>Capital construction progress: From Q3/2023 to Q2/2024</w:t>
      </w:r>
    </w:p>
    <w:p w14:paraId="344EB164" w14:textId="77777777" w:rsidR="001C22E6" w:rsidRPr="00BA54DC" w:rsidRDefault="0029795A" w:rsidP="00AD1778">
      <w:pPr>
        <w:numPr>
          <w:ilvl w:val="0"/>
          <w:numId w:val="8"/>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sidRPr="00BA54DC">
        <w:rPr>
          <w:rFonts w:ascii="Arial" w:hAnsi="Arial" w:cs="Arial"/>
          <w:color w:val="010000"/>
          <w:sz w:val="20"/>
        </w:rPr>
        <w:t>Progress of machinery and equipment installation: Q3/2024</w:t>
      </w:r>
    </w:p>
    <w:p w14:paraId="49F825DD" w14:textId="77777777" w:rsidR="001C22E6" w:rsidRPr="00BA54DC" w:rsidRDefault="0029795A" w:rsidP="00AD1778">
      <w:pPr>
        <w:numPr>
          <w:ilvl w:val="0"/>
          <w:numId w:val="8"/>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sidRPr="00BA54DC">
        <w:rPr>
          <w:rFonts w:ascii="Arial" w:hAnsi="Arial" w:cs="Arial"/>
          <w:color w:val="010000"/>
          <w:sz w:val="20"/>
        </w:rPr>
        <w:t>Progress of putting the construction into operation: Q1/2025</w:t>
      </w:r>
    </w:p>
    <w:p w14:paraId="4FD175A3" w14:textId="2FBF84D1"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2: Authorize the </w:t>
      </w:r>
      <w:r w:rsidR="00AD1778">
        <w:rPr>
          <w:rFonts w:ascii="Arial" w:hAnsi="Arial" w:cs="Arial"/>
          <w:color w:val="010000"/>
          <w:sz w:val="20"/>
        </w:rPr>
        <w:t>Managing Director-cum-</w:t>
      </w:r>
      <w:r w:rsidRPr="00BA54DC">
        <w:rPr>
          <w:rFonts w:ascii="Arial" w:hAnsi="Arial" w:cs="Arial"/>
          <w:color w:val="010000"/>
          <w:sz w:val="20"/>
        </w:rPr>
        <w:t xml:space="preserve">Company's representative to sign all documents and perform all necessary or appropriate work related to the implementation of procedures to adjust the Investment Registration Certificate of the Project: International Dairy Products Joint Stock Company - </w:t>
      </w:r>
      <w:proofErr w:type="spellStart"/>
      <w:r w:rsidRPr="00BA54DC">
        <w:rPr>
          <w:rFonts w:ascii="Arial" w:hAnsi="Arial" w:cs="Arial"/>
          <w:color w:val="010000"/>
          <w:sz w:val="20"/>
        </w:rPr>
        <w:t>Binh</w:t>
      </w:r>
      <w:proofErr w:type="spellEnd"/>
      <w:r w:rsidRPr="00BA54DC">
        <w:rPr>
          <w:rFonts w:ascii="Arial" w:hAnsi="Arial" w:cs="Arial"/>
          <w:color w:val="010000"/>
          <w:sz w:val="20"/>
        </w:rPr>
        <w:t xml:space="preserve"> Duong Branch on the progress of investment projects and other procedures </w:t>
      </w:r>
      <w:r w:rsidR="00AD1778">
        <w:rPr>
          <w:rFonts w:ascii="Arial" w:hAnsi="Arial" w:cs="Arial"/>
          <w:color w:val="010000"/>
          <w:sz w:val="20"/>
        </w:rPr>
        <w:t>under applicable laws.</w:t>
      </w:r>
    </w:p>
    <w:p w14:paraId="319ACCB3" w14:textId="38698673" w:rsidR="001C22E6" w:rsidRPr="00BA54DC" w:rsidRDefault="0029795A" w:rsidP="00AD17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54DC">
        <w:rPr>
          <w:rFonts w:ascii="Arial" w:hAnsi="Arial" w:cs="Arial"/>
          <w:color w:val="010000"/>
          <w:sz w:val="20"/>
        </w:rPr>
        <w:t xml:space="preserve">Article 3: This General Mandate takes effect from the </w:t>
      </w:r>
      <w:r w:rsidR="00A23572" w:rsidRPr="00BA54DC">
        <w:rPr>
          <w:rFonts w:ascii="Arial" w:hAnsi="Arial" w:cs="Arial"/>
          <w:color w:val="010000"/>
          <w:sz w:val="20"/>
        </w:rPr>
        <w:t>date of its signing</w:t>
      </w:r>
      <w:r w:rsidRPr="00BA54DC">
        <w:rPr>
          <w:rFonts w:ascii="Arial" w:hAnsi="Arial" w:cs="Arial"/>
          <w:color w:val="010000"/>
          <w:sz w:val="20"/>
        </w:rPr>
        <w:t>, and is made in 03 (three) original copies kept at the Company's headquarters.</w:t>
      </w:r>
    </w:p>
    <w:sectPr w:rsidR="001C22E6" w:rsidRPr="00BA54DC" w:rsidSect="00FF5B5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532"/>
    <w:multiLevelType w:val="multilevel"/>
    <w:tmpl w:val="043A98A0"/>
    <w:lvl w:ilvl="0">
      <w:start w:val="2"/>
      <w:numFmt w:val="lowerLetter"/>
      <w:lvlText w:val="%1)"/>
      <w:lvlJc w:val="left"/>
      <w:pPr>
        <w:ind w:left="774" w:hanging="359"/>
      </w:pPr>
      <w:rPr>
        <w:rFonts w:ascii="Arial" w:eastAsia="Arial" w:hAnsi="Arial" w:cs="Arial"/>
        <w:b w:val="0"/>
        <w:i w:val="0"/>
        <w:sz w:val="20"/>
        <w:szCs w:val="20"/>
        <w:u w:val="none"/>
      </w:rPr>
    </w:lvl>
    <w:lvl w:ilvl="1">
      <w:start w:val="1"/>
      <w:numFmt w:val="lowerLetter"/>
      <w:lvlText w:val="%2."/>
      <w:lvlJc w:val="left"/>
      <w:pPr>
        <w:ind w:left="1494" w:hanging="360"/>
      </w:pPr>
      <w:rPr>
        <w:rFonts w:ascii="Arial" w:eastAsia="Arial" w:hAnsi="Arial" w:cs="Arial"/>
        <w:b w:val="0"/>
        <w:i w:val="0"/>
        <w:sz w:val="20"/>
        <w:szCs w:val="20"/>
      </w:rPr>
    </w:lvl>
    <w:lvl w:ilvl="2">
      <w:start w:val="1"/>
      <w:numFmt w:val="lowerRoman"/>
      <w:lvlText w:val="%3."/>
      <w:lvlJc w:val="right"/>
      <w:pPr>
        <w:ind w:left="2214" w:hanging="180"/>
      </w:pPr>
      <w:rPr>
        <w:rFonts w:ascii="Arial" w:eastAsia="Arial" w:hAnsi="Arial" w:cs="Arial"/>
        <w:b w:val="0"/>
        <w:i w:val="0"/>
        <w:sz w:val="20"/>
        <w:szCs w:val="20"/>
      </w:r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 w15:restartNumberingAfterBreak="0">
    <w:nsid w:val="227A57AA"/>
    <w:multiLevelType w:val="multilevel"/>
    <w:tmpl w:val="11E4BB3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88036D"/>
    <w:multiLevelType w:val="multilevel"/>
    <w:tmpl w:val="4DD8EBC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0A95415"/>
    <w:multiLevelType w:val="multilevel"/>
    <w:tmpl w:val="0A70CE42"/>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C84428"/>
    <w:multiLevelType w:val="multilevel"/>
    <w:tmpl w:val="CAD63160"/>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014EFE"/>
    <w:multiLevelType w:val="multilevel"/>
    <w:tmpl w:val="7C706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B93B93"/>
    <w:multiLevelType w:val="multilevel"/>
    <w:tmpl w:val="49B4D1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9A22CF"/>
    <w:multiLevelType w:val="multilevel"/>
    <w:tmpl w:val="446A2B3C"/>
    <w:lvl w:ilvl="0">
      <w:start w:val="8"/>
      <w:numFmt w:val="decimal"/>
      <w:lvlText w:val="%1."/>
      <w:lvlJc w:val="left"/>
      <w:pPr>
        <w:ind w:left="774" w:hanging="359"/>
      </w:pPr>
      <w:rPr>
        <w:rFonts w:ascii="Arial" w:eastAsia="Arial" w:hAnsi="Arial" w:cs="Arial"/>
        <w:b w:val="0"/>
        <w:i w:val="0"/>
        <w:sz w:val="20"/>
        <w:szCs w:val="20"/>
        <w:u w:val="none"/>
      </w:rPr>
    </w:lvl>
    <w:lvl w:ilvl="1">
      <w:start w:val="1"/>
      <w:numFmt w:val="lowerLetter"/>
      <w:lvlText w:val="%2."/>
      <w:lvlJc w:val="left"/>
      <w:pPr>
        <w:ind w:left="1494" w:hanging="360"/>
      </w:pPr>
      <w:rPr>
        <w:rFonts w:ascii="Arial" w:eastAsia="Arial" w:hAnsi="Arial" w:cs="Arial"/>
        <w:b w:val="0"/>
        <w:i w:val="0"/>
        <w:sz w:val="20"/>
        <w:szCs w:val="20"/>
      </w:rPr>
    </w:lvl>
    <w:lvl w:ilvl="2">
      <w:start w:val="1"/>
      <w:numFmt w:val="lowerRoman"/>
      <w:lvlText w:val="%3."/>
      <w:lvlJc w:val="right"/>
      <w:pPr>
        <w:ind w:left="2214" w:hanging="180"/>
      </w:pPr>
      <w:rPr>
        <w:rFonts w:ascii="Arial" w:eastAsia="Arial" w:hAnsi="Arial" w:cs="Arial"/>
        <w:b w:val="0"/>
        <w:i w:val="0"/>
        <w:sz w:val="20"/>
        <w:szCs w:val="20"/>
      </w:r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8" w15:restartNumberingAfterBreak="0">
    <w:nsid w:val="62FF0DF7"/>
    <w:multiLevelType w:val="multilevel"/>
    <w:tmpl w:val="EC16B280"/>
    <w:lvl w:ilvl="0">
      <w:start w:val="8"/>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462CF2"/>
    <w:multiLevelType w:val="multilevel"/>
    <w:tmpl w:val="13A04B06"/>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1D513A"/>
    <w:multiLevelType w:val="multilevel"/>
    <w:tmpl w:val="AFCA4D1E"/>
    <w:lvl w:ilvl="0">
      <w:start w:val="2"/>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4243E3"/>
    <w:multiLevelType w:val="multilevel"/>
    <w:tmpl w:val="56DA61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7067BB4"/>
    <w:multiLevelType w:val="multilevel"/>
    <w:tmpl w:val="1D8865A0"/>
    <w:lvl w:ilvl="0">
      <w:start w:val="1"/>
      <w:numFmt w:val="decimal"/>
      <w:lvlText w:val="%1."/>
      <w:lvlJc w:val="left"/>
      <w:pPr>
        <w:ind w:left="414" w:hanging="360"/>
      </w:pPr>
      <w:rPr>
        <w:rFonts w:ascii="Arial" w:eastAsia="Arial" w:hAnsi="Arial" w:cs="Arial"/>
        <w:b w:val="0"/>
        <w:i w:val="0"/>
        <w:sz w:val="20"/>
        <w:szCs w:val="20"/>
        <w:u w:val="none"/>
      </w:rPr>
    </w:lvl>
    <w:lvl w:ilvl="1">
      <w:start w:val="1"/>
      <w:numFmt w:val="lowerLetter"/>
      <w:lvlText w:val="%2."/>
      <w:lvlJc w:val="left"/>
      <w:pPr>
        <w:ind w:left="1134" w:hanging="360"/>
      </w:pPr>
      <w:rPr>
        <w:rFonts w:ascii="Arial" w:eastAsia="Arial" w:hAnsi="Arial" w:cs="Arial"/>
        <w:b w:val="0"/>
        <w:i w:val="0"/>
        <w:sz w:val="20"/>
        <w:szCs w:val="20"/>
      </w:rPr>
    </w:lvl>
    <w:lvl w:ilvl="2">
      <w:start w:val="1"/>
      <w:numFmt w:val="lowerRoman"/>
      <w:lvlText w:val="%3."/>
      <w:lvlJc w:val="right"/>
      <w:pPr>
        <w:ind w:left="1854" w:hanging="180"/>
      </w:pPr>
      <w:rPr>
        <w:rFonts w:ascii="Arial" w:eastAsia="Arial" w:hAnsi="Arial" w:cs="Arial"/>
        <w:b w:val="0"/>
        <w:i w:val="0"/>
        <w:sz w:val="20"/>
        <w:szCs w:val="20"/>
      </w:r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num w:numId="1">
    <w:abstractNumId w:val="5"/>
  </w:num>
  <w:num w:numId="2">
    <w:abstractNumId w:val="12"/>
  </w:num>
  <w:num w:numId="3">
    <w:abstractNumId w:val="0"/>
  </w:num>
  <w:num w:numId="4">
    <w:abstractNumId w:val="7"/>
  </w:num>
  <w:num w:numId="5">
    <w:abstractNumId w:val="10"/>
  </w:num>
  <w:num w:numId="6">
    <w:abstractNumId w:val="8"/>
  </w:num>
  <w:num w:numId="7">
    <w:abstractNumId w:val="1"/>
  </w:num>
  <w:num w:numId="8">
    <w:abstractNumId w:val="11"/>
  </w:num>
  <w:num w:numId="9">
    <w:abstractNumId w:val="4"/>
  </w:num>
  <w:num w:numId="10">
    <w:abstractNumId w:val="6"/>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E6"/>
    <w:rsid w:val="001C22E6"/>
    <w:rsid w:val="0029795A"/>
    <w:rsid w:val="00345B9E"/>
    <w:rsid w:val="00354121"/>
    <w:rsid w:val="00541DA7"/>
    <w:rsid w:val="00551BCB"/>
    <w:rsid w:val="00697409"/>
    <w:rsid w:val="007A7E34"/>
    <w:rsid w:val="008760E8"/>
    <w:rsid w:val="009B16C7"/>
    <w:rsid w:val="00A23572"/>
    <w:rsid w:val="00AD1778"/>
    <w:rsid w:val="00BA54DC"/>
    <w:rsid w:val="00C105E1"/>
    <w:rsid w:val="00D90414"/>
    <w:rsid w:val="00FF5B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9A62B"/>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834F74"/>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B5C79"/>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color w:val="BB5C79"/>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BB5C79"/>
      <w:sz w:val="34"/>
      <w:szCs w:val="34"/>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color w:val="834F74"/>
      <w:sz w:val="16"/>
      <w:szCs w:val="16"/>
    </w:rPr>
  </w:style>
  <w:style w:type="paragraph" w:customStyle="1" w:styleId="Bodytext30">
    <w:name w:val="Body text (3)"/>
    <w:basedOn w:val="Normal"/>
    <w:link w:val="Bodytext3"/>
    <w:pPr>
      <w:ind w:firstLine="180"/>
    </w:pPr>
    <w:rPr>
      <w:rFonts w:ascii="Arial" w:eastAsia="Arial" w:hAnsi="Arial" w:cs="Arial"/>
      <w:sz w:val="17"/>
      <w:szCs w:val="17"/>
    </w:rPr>
  </w:style>
  <w:style w:type="paragraph" w:customStyle="1" w:styleId="Bodytext20">
    <w:name w:val="Body text (2)"/>
    <w:basedOn w:val="Normal"/>
    <w:link w:val="Bodytext2"/>
    <w:pPr>
      <w:jc w:val="right"/>
    </w:pPr>
    <w:rPr>
      <w:rFonts w:ascii="Arial" w:eastAsia="Arial" w:hAnsi="Arial" w:cs="Arial"/>
      <w:color w:val="BB5C79"/>
      <w:sz w:val="20"/>
      <w:szCs w:val="20"/>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41">
    <w:name w:val="Heading #4"/>
    <w:basedOn w:val="Normal"/>
    <w:link w:val="Heading40"/>
    <w:pPr>
      <w:ind w:left="1070"/>
      <w:outlineLvl w:val="3"/>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right"/>
      <w:outlineLvl w:val="0"/>
    </w:pPr>
    <w:rPr>
      <w:rFonts w:ascii="Arial" w:eastAsia="Arial" w:hAnsi="Arial" w:cs="Arial"/>
      <w:sz w:val="38"/>
      <w:szCs w:val="38"/>
    </w:rPr>
  </w:style>
  <w:style w:type="paragraph" w:customStyle="1" w:styleId="Heading31">
    <w:name w:val="Heading #3"/>
    <w:basedOn w:val="Normal"/>
    <w:link w:val="Heading30"/>
    <w:pPr>
      <w:spacing w:line="180" w:lineRule="auto"/>
      <w:ind w:left="1260"/>
      <w:outlineLvl w:val="2"/>
    </w:pPr>
    <w:rPr>
      <w:rFonts w:ascii="Arial" w:eastAsia="Arial" w:hAnsi="Arial" w:cs="Arial"/>
      <w:color w:val="BB5C79"/>
      <w:sz w:val="30"/>
      <w:szCs w:val="30"/>
    </w:rPr>
  </w:style>
  <w:style w:type="paragraph" w:customStyle="1" w:styleId="Heading21">
    <w:name w:val="Heading #2"/>
    <w:basedOn w:val="Normal"/>
    <w:link w:val="Heading20"/>
    <w:pPr>
      <w:spacing w:line="223" w:lineRule="auto"/>
      <w:ind w:left="4820"/>
      <w:outlineLvl w:val="1"/>
    </w:pPr>
    <w:rPr>
      <w:rFonts w:ascii="Times New Roman" w:eastAsia="Times New Roman" w:hAnsi="Times New Roman" w:cs="Times New Roman"/>
      <w:color w:val="BB5C79"/>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aquocte@lof.v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aquocte@idp.vn" TargetMode="External"/><Relationship Id="rId12" Type="http://schemas.openxmlformats.org/officeDocument/2006/relationships/image" Target="media/image1.png"/><Relationship Id="rId17" Type="http://schemas.openxmlformats.org/officeDocument/2006/relationships/hyperlink" Target="https://lof.vn" TargetMode="External"/><Relationship Id="rId2" Type="http://schemas.openxmlformats.org/officeDocument/2006/relationships/numbering" Target="numbering.xml"/><Relationship Id="rId16" Type="http://schemas.openxmlformats.org/officeDocument/2006/relationships/hyperlink" Target="mailto:suaquocte@lof.vn" TargetMode="External"/><Relationship Id="rId1" Type="http://schemas.openxmlformats.org/officeDocument/2006/relationships/customXml" Target="../customXml/item1.xml"/><Relationship Id="rId6" Type="http://schemas.openxmlformats.org/officeDocument/2006/relationships/hyperlink" Target="mailto:suaquocte@idp.vn" TargetMode="External"/><Relationship Id="rId11" Type="http://schemas.openxmlformats.org/officeDocument/2006/relationships/hyperlink" Target="https://lof.vn" TargetMode="External"/><Relationship Id="rId5" Type="http://schemas.openxmlformats.org/officeDocument/2006/relationships/webSettings" Target="webSettings.xml"/><Relationship Id="rId15" Type="http://schemas.openxmlformats.org/officeDocument/2006/relationships/hyperlink" Target="mailto:suaquocte@lof.vn" TargetMode="External"/><Relationship Id="rId10" Type="http://schemas.openxmlformats.org/officeDocument/2006/relationships/hyperlink" Target="https://idp.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aquocte@lof.vn"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jBOEsX/6HpUfvKkifKVDXlI1oA==">CgMxLjA4AHIhMUtaR1VPZkNzNnZUZHFHdnhqYVFxRG1KUnpJTzlSMkFJ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2024-03-21T03:03:00Z</dcterms:created>
  <dcterms:modified xsi:type="dcterms:W3CDTF">2024-03-21T03:03:00Z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9558c45cd820af1438140333738253f5ff915f72856700d9a748fdad5a95dc0a</vt:lpwstr>
  </property>
</Properties>
</file>