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018F12" w:rsidR="00AD2D77" w:rsidRPr="00263DB9" w:rsidRDefault="00073AB7" w:rsidP="00436C36">
      <w:pPr>
        <w:pBdr>
          <w:top w:val="nil"/>
          <w:left w:val="nil"/>
          <w:bottom w:val="nil"/>
          <w:right w:val="nil"/>
          <w:between w:val="nil"/>
        </w:pBdr>
        <w:tabs>
          <w:tab w:val="left" w:pos="7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63DB9">
        <w:rPr>
          <w:rFonts w:ascii="Arial" w:hAnsi="Arial" w:cs="Arial"/>
          <w:b/>
          <w:color w:val="010000"/>
          <w:sz w:val="20"/>
        </w:rPr>
        <w:t xml:space="preserve">CET: </w:t>
      </w:r>
      <w:r w:rsidR="00263DB9" w:rsidRPr="00263DB9">
        <w:rPr>
          <w:rFonts w:ascii="Arial" w:hAnsi="Arial" w:cs="Arial"/>
          <w:b/>
          <w:color w:val="010000"/>
          <w:sz w:val="20"/>
        </w:rPr>
        <w:t xml:space="preserve">Explanation on </w:t>
      </w:r>
      <w:r w:rsidRPr="00263DB9">
        <w:rPr>
          <w:rFonts w:ascii="Arial" w:hAnsi="Arial" w:cs="Arial"/>
          <w:b/>
          <w:color w:val="010000"/>
          <w:sz w:val="20"/>
        </w:rPr>
        <w:t xml:space="preserve">CET </w:t>
      </w:r>
      <w:r w:rsidR="00263DB9" w:rsidRPr="00263DB9">
        <w:rPr>
          <w:rFonts w:ascii="Arial" w:hAnsi="Arial" w:cs="Arial"/>
          <w:b/>
          <w:color w:val="010000"/>
          <w:sz w:val="20"/>
        </w:rPr>
        <w:t>share price</w:t>
      </w:r>
      <w:r w:rsidRPr="00263DB9">
        <w:rPr>
          <w:rFonts w:ascii="Arial" w:hAnsi="Arial" w:cs="Arial"/>
          <w:b/>
          <w:color w:val="010000"/>
          <w:sz w:val="20"/>
        </w:rPr>
        <w:t xml:space="preserve"> increas</w:t>
      </w:r>
      <w:r w:rsidR="00263DB9" w:rsidRPr="00263DB9">
        <w:rPr>
          <w:rFonts w:ascii="Arial" w:hAnsi="Arial" w:cs="Arial"/>
          <w:b/>
          <w:color w:val="010000"/>
          <w:sz w:val="20"/>
        </w:rPr>
        <w:t>ing for 5 consecutive sessions</w:t>
      </w:r>
    </w:p>
    <w:p w14:paraId="00000002" w14:textId="40CBB045" w:rsidR="00AD2D77" w:rsidRPr="00263DB9" w:rsidRDefault="00073AB7" w:rsidP="00436C36">
      <w:pPr>
        <w:pBdr>
          <w:top w:val="nil"/>
          <w:left w:val="nil"/>
          <w:bottom w:val="nil"/>
          <w:right w:val="nil"/>
          <w:between w:val="nil"/>
        </w:pBdr>
        <w:tabs>
          <w:tab w:val="left" w:pos="7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3DB9">
        <w:rPr>
          <w:rFonts w:ascii="Arial" w:hAnsi="Arial" w:cs="Arial"/>
          <w:color w:val="010000"/>
          <w:sz w:val="20"/>
        </w:rPr>
        <w:t>On March 18, 2024, HTC Holding Joint Stock Company announced Official Dispatch No. 05/2024/CV-CET on the explanation on the share hit</w:t>
      </w:r>
      <w:r w:rsidR="00263DB9" w:rsidRPr="00263DB9">
        <w:rPr>
          <w:rFonts w:ascii="Arial" w:hAnsi="Arial" w:cs="Arial"/>
          <w:color w:val="010000"/>
          <w:sz w:val="20"/>
        </w:rPr>
        <w:t>ting</w:t>
      </w:r>
      <w:r w:rsidRPr="00263DB9">
        <w:rPr>
          <w:rFonts w:ascii="Arial" w:hAnsi="Arial" w:cs="Arial"/>
          <w:color w:val="010000"/>
          <w:sz w:val="20"/>
        </w:rPr>
        <w:t xml:space="preserve"> the ceiling price for 5 consecutive sessions as follows:</w:t>
      </w:r>
    </w:p>
    <w:p w14:paraId="00000003" w14:textId="2D0DBA73" w:rsidR="00AD2D77" w:rsidRPr="00263DB9" w:rsidRDefault="00073AB7" w:rsidP="00436C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3DB9">
        <w:rPr>
          <w:rFonts w:ascii="Arial" w:hAnsi="Arial" w:cs="Arial"/>
          <w:color w:val="010000"/>
          <w:sz w:val="20"/>
        </w:rPr>
        <w:t xml:space="preserve">Pursuant to Circular </w:t>
      </w:r>
      <w:r w:rsidR="00263DB9" w:rsidRPr="00263DB9">
        <w:rPr>
          <w:rFonts w:ascii="Arial" w:hAnsi="Arial" w:cs="Arial"/>
          <w:color w:val="010000"/>
          <w:sz w:val="20"/>
        </w:rPr>
        <w:t xml:space="preserve">No. </w:t>
      </w:r>
      <w:r w:rsidRPr="00263DB9">
        <w:rPr>
          <w:rFonts w:ascii="Arial" w:hAnsi="Arial" w:cs="Arial"/>
          <w:color w:val="010000"/>
          <w:sz w:val="20"/>
        </w:rPr>
        <w:t>96/2020/TT-BTC signed on November 16, 2020 of the Ministry of Finance on Information Disclosure on the stock market; HTC Holding Joint Stock Company (CET) would like to explain the CET share price hi</w:t>
      </w:r>
      <w:r w:rsidR="00263DB9" w:rsidRPr="00263DB9">
        <w:rPr>
          <w:rFonts w:ascii="Arial" w:hAnsi="Arial" w:cs="Arial"/>
          <w:color w:val="010000"/>
          <w:sz w:val="20"/>
        </w:rPr>
        <w:t>tting</w:t>
      </w:r>
      <w:r w:rsidRPr="00263DB9">
        <w:rPr>
          <w:rFonts w:ascii="Arial" w:hAnsi="Arial" w:cs="Arial"/>
          <w:color w:val="010000"/>
          <w:sz w:val="20"/>
        </w:rPr>
        <w:t xml:space="preserve"> the ceiling </w:t>
      </w:r>
      <w:r w:rsidR="00263DB9" w:rsidRPr="00263DB9">
        <w:rPr>
          <w:rFonts w:ascii="Arial" w:hAnsi="Arial" w:cs="Arial"/>
          <w:color w:val="010000"/>
          <w:sz w:val="20"/>
        </w:rPr>
        <w:t xml:space="preserve">price </w:t>
      </w:r>
      <w:r w:rsidRPr="00263DB9">
        <w:rPr>
          <w:rFonts w:ascii="Arial" w:hAnsi="Arial" w:cs="Arial"/>
          <w:color w:val="010000"/>
          <w:sz w:val="20"/>
        </w:rPr>
        <w:t xml:space="preserve">for 5 consecutive sessions from March 11, 2024 to March 15, 2024. The continuous increase </w:t>
      </w:r>
      <w:r w:rsidR="00263DB9" w:rsidRPr="00263DB9">
        <w:rPr>
          <w:rFonts w:ascii="Arial" w:hAnsi="Arial" w:cs="Arial"/>
          <w:color w:val="010000"/>
          <w:sz w:val="20"/>
        </w:rPr>
        <w:t xml:space="preserve">of </w:t>
      </w:r>
      <w:r w:rsidRPr="00263DB9">
        <w:rPr>
          <w:rFonts w:ascii="Arial" w:hAnsi="Arial" w:cs="Arial"/>
          <w:color w:val="010000"/>
          <w:sz w:val="20"/>
        </w:rPr>
        <w:t>share price to the ceiling price depends on the market's supply and demand factors and is beyond the company's control. We confirm that the company's business operations are operating normally.</w:t>
      </w:r>
      <w:bookmarkEnd w:id="0"/>
    </w:p>
    <w:sectPr w:rsidR="00AD2D77" w:rsidRPr="00263DB9" w:rsidSect="00073AB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7"/>
    <w:rsid w:val="00073AB7"/>
    <w:rsid w:val="00263DB9"/>
    <w:rsid w:val="00436C36"/>
    <w:rsid w:val="00A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79974"/>
  <w15:docId w15:val="{6C9F6442-0F00-4CE0-A4C5-45653C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al"/>
    <w:link w:val="Bodytext2"/>
    <w:pPr>
      <w:spacing w:line="202" w:lineRule="auto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79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190" w:lineRule="auto"/>
      <w:outlineLvl w:val="1"/>
    </w:pPr>
    <w:rPr>
      <w:rFonts w:ascii="Times New Roman" w:eastAsia="Times New Roman" w:hAnsi="Times New Roman" w:cs="Times New Roman"/>
      <w:i/>
      <w:iCs/>
      <w:smallCaps/>
      <w:sz w:val="32"/>
      <w:szCs w:val="3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Heading31">
    <w:name w:val="Heading #3"/>
    <w:basedOn w:val="Normal"/>
    <w:link w:val="Heading30"/>
    <w:pPr>
      <w:ind w:left="9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ind w:left="1560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R37gTlZp2eOvYbRwOP5B4JH7DQ==">CgMxLjA4AHIhMWJhQXpmVzFEY3dhNUdxUFI2ZmpRa3RRVV9vSTd5RkpP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2024-03-21T03:18:00Z</dcterms:created>
  <dcterms:modified xsi:type="dcterms:W3CDTF">2024-03-22T03:10:00Z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de6a8151e3861bec120ffae8cb12cadd27d479f5af1f99cc49f89d70de6cee7b</vt:lpwstr>
  </property>
</Properties>
</file>