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DF783" w14:textId="06188EAD" w:rsidR="006661CF" w:rsidRPr="00211E47" w:rsidRDefault="006A289B" w:rsidP="002D0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11E47">
        <w:rPr>
          <w:rFonts w:ascii="Arial" w:hAnsi="Arial" w:cs="Arial"/>
          <w:b/>
          <w:color w:val="010000"/>
          <w:sz w:val="20"/>
        </w:rPr>
        <w:t xml:space="preserve">SCY: Board </w:t>
      </w:r>
      <w:r w:rsidR="00BC5B33" w:rsidRPr="00211E47">
        <w:rPr>
          <w:rFonts w:ascii="Arial" w:hAnsi="Arial" w:cs="Arial"/>
          <w:b/>
          <w:color w:val="010000"/>
          <w:sz w:val="20"/>
        </w:rPr>
        <w:t>Decision</w:t>
      </w:r>
    </w:p>
    <w:p w14:paraId="410D1FE0" w14:textId="63A1459B" w:rsidR="006661CF" w:rsidRPr="00211E47" w:rsidRDefault="006A289B" w:rsidP="002D0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 xml:space="preserve">On March 19, 2024, Song Cam Shipbuilding Joint Stock Company </w:t>
      </w:r>
      <w:r w:rsidR="00BC5B33" w:rsidRPr="00211E47">
        <w:rPr>
          <w:rFonts w:ascii="Arial" w:hAnsi="Arial" w:cs="Arial"/>
          <w:color w:val="010000"/>
          <w:sz w:val="20"/>
        </w:rPr>
        <w:t>announced</w:t>
      </w:r>
      <w:r w:rsidRPr="00211E47">
        <w:rPr>
          <w:rFonts w:ascii="Arial" w:hAnsi="Arial" w:cs="Arial"/>
          <w:color w:val="010000"/>
          <w:sz w:val="20"/>
        </w:rPr>
        <w:t xml:space="preserve"> Decision No. 12/QD-HDQT on approving the signing and implementation of the Contract for constructing the new hull of </w:t>
      </w:r>
      <w:r w:rsidR="00211E47" w:rsidRPr="00211E47">
        <w:rPr>
          <w:rFonts w:ascii="Arial" w:hAnsi="Arial" w:cs="Arial"/>
          <w:color w:val="010000"/>
          <w:sz w:val="20"/>
        </w:rPr>
        <w:t>ST-245 ESCV vessel</w:t>
      </w:r>
      <w:r w:rsidRPr="00211E47">
        <w:rPr>
          <w:rFonts w:ascii="Arial" w:hAnsi="Arial" w:cs="Arial"/>
          <w:color w:val="010000"/>
          <w:sz w:val="20"/>
        </w:rPr>
        <w:t xml:space="preserve"> as follows: </w:t>
      </w:r>
    </w:p>
    <w:p w14:paraId="2F8CB290" w14:textId="170F1078" w:rsidR="006661CF" w:rsidRPr="00211E47" w:rsidRDefault="006A289B" w:rsidP="002D0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 xml:space="preserve">‎‎Article 1. Approve permission to sign and implement the contract: Construct the new hull of </w:t>
      </w:r>
      <w:r w:rsidR="00211E47" w:rsidRPr="00211E47">
        <w:rPr>
          <w:rFonts w:ascii="Arial" w:hAnsi="Arial" w:cs="Arial"/>
          <w:color w:val="010000"/>
          <w:sz w:val="20"/>
        </w:rPr>
        <w:t>ST-245 ESCV vessel</w:t>
      </w:r>
      <w:r w:rsidRPr="00211E47">
        <w:rPr>
          <w:rFonts w:ascii="Arial" w:hAnsi="Arial" w:cs="Arial"/>
          <w:color w:val="010000"/>
          <w:sz w:val="20"/>
        </w:rPr>
        <w:t>, with the following main contents:</w:t>
      </w:r>
    </w:p>
    <w:p w14:paraId="43AAFE27" w14:textId="5EC67DFE" w:rsidR="006661CF" w:rsidRPr="00211E47" w:rsidRDefault="006A289B" w:rsidP="002D0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>Name of contract</w:t>
      </w:r>
      <w:r w:rsidR="00211E47" w:rsidRPr="00211E47">
        <w:rPr>
          <w:rFonts w:ascii="Arial" w:hAnsi="Arial" w:cs="Arial"/>
          <w:color w:val="010000"/>
          <w:sz w:val="20"/>
        </w:rPr>
        <w:t>:</w:t>
      </w:r>
      <w:r w:rsidRPr="00211E47">
        <w:rPr>
          <w:rFonts w:ascii="Arial" w:hAnsi="Arial" w:cs="Arial"/>
          <w:color w:val="010000"/>
          <w:sz w:val="20"/>
        </w:rPr>
        <w:t xml:space="preserve"> Construction of the new hull of ST-245 ESCV</w:t>
      </w:r>
      <w:r w:rsidR="00211E47" w:rsidRPr="00211E47">
        <w:rPr>
          <w:rFonts w:ascii="Arial" w:hAnsi="Arial" w:cs="Arial"/>
          <w:color w:val="010000"/>
          <w:sz w:val="20"/>
        </w:rPr>
        <w:t xml:space="preserve"> vessel</w:t>
      </w:r>
    </w:p>
    <w:p w14:paraId="11E4EEB8" w14:textId="77777777" w:rsidR="006661CF" w:rsidRPr="00211E47" w:rsidRDefault="006A289B" w:rsidP="002D0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 xml:space="preserve">Contracting unit: </w:t>
      </w:r>
      <w:proofErr w:type="spellStart"/>
      <w:r w:rsidRPr="00211E47">
        <w:rPr>
          <w:rFonts w:ascii="Arial" w:hAnsi="Arial" w:cs="Arial"/>
          <w:color w:val="010000"/>
          <w:sz w:val="20"/>
        </w:rPr>
        <w:t>Myklebust</w:t>
      </w:r>
      <w:proofErr w:type="spellEnd"/>
      <w:r w:rsidRPr="00211E4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11E47">
        <w:rPr>
          <w:rFonts w:ascii="Arial" w:hAnsi="Arial" w:cs="Arial"/>
          <w:color w:val="010000"/>
          <w:sz w:val="20"/>
        </w:rPr>
        <w:t>Verft</w:t>
      </w:r>
      <w:proofErr w:type="spellEnd"/>
      <w:r w:rsidRPr="00211E47">
        <w:rPr>
          <w:rFonts w:ascii="Arial" w:hAnsi="Arial" w:cs="Arial"/>
          <w:color w:val="010000"/>
          <w:sz w:val="20"/>
        </w:rPr>
        <w:t xml:space="preserve"> AS</w:t>
      </w:r>
    </w:p>
    <w:p w14:paraId="16A6C670" w14:textId="77777777" w:rsidR="006661CF" w:rsidRPr="00211E47" w:rsidRDefault="006A289B" w:rsidP="002D0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 xml:space="preserve">Address: </w:t>
      </w:r>
      <w:proofErr w:type="spellStart"/>
      <w:r w:rsidRPr="00211E47">
        <w:rPr>
          <w:rFonts w:ascii="Arial" w:hAnsi="Arial" w:cs="Arial"/>
          <w:color w:val="010000"/>
          <w:sz w:val="20"/>
        </w:rPr>
        <w:t>Gurskenvegen</w:t>
      </w:r>
      <w:proofErr w:type="spellEnd"/>
      <w:r w:rsidRPr="00211E47">
        <w:rPr>
          <w:rFonts w:ascii="Arial" w:hAnsi="Arial" w:cs="Arial"/>
          <w:color w:val="010000"/>
          <w:sz w:val="20"/>
        </w:rPr>
        <w:t xml:space="preserve"> 68, N6082 </w:t>
      </w:r>
      <w:proofErr w:type="spellStart"/>
      <w:r w:rsidRPr="00211E47">
        <w:rPr>
          <w:rFonts w:ascii="Arial" w:hAnsi="Arial" w:cs="Arial"/>
          <w:color w:val="010000"/>
          <w:sz w:val="20"/>
        </w:rPr>
        <w:t>Gursken</w:t>
      </w:r>
      <w:proofErr w:type="spellEnd"/>
      <w:r w:rsidRPr="00211E47">
        <w:rPr>
          <w:rFonts w:ascii="Arial" w:hAnsi="Arial" w:cs="Arial"/>
          <w:color w:val="010000"/>
          <w:sz w:val="20"/>
        </w:rPr>
        <w:t>, Norway</w:t>
      </w:r>
    </w:p>
    <w:p w14:paraId="17177601" w14:textId="3DAFFA0D" w:rsidR="006661CF" w:rsidRPr="00211E47" w:rsidRDefault="006A289B" w:rsidP="002D0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>Content and scale of the contract:</w:t>
      </w:r>
    </w:p>
    <w:p w14:paraId="7A16CA7E" w14:textId="77777777" w:rsidR="006661CF" w:rsidRPr="00211E47" w:rsidRDefault="006A289B" w:rsidP="002D01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>Scale of the contract:</w:t>
      </w:r>
    </w:p>
    <w:p w14:paraId="57634493" w14:textId="32BDC68D" w:rsidR="006661CF" w:rsidRPr="00211E47" w:rsidRDefault="006A289B" w:rsidP="002D0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 xml:space="preserve">Construct the new hull of </w:t>
      </w:r>
      <w:r w:rsidR="00211E47" w:rsidRPr="00211E47">
        <w:rPr>
          <w:rFonts w:ascii="Arial" w:hAnsi="Arial" w:cs="Arial"/>
          <w:color w:val="010000"/>
          <w:sz w:val="20"/>
        </w:rPr>
        <w:t>ST-245 ESCV vessel</w:t>
      </w:r>
      <w:r w:rsidRPr="00211E47">
        <w:rPr>
          <w:rFonts w:ascii="Arial" w:hAnsi="Arial" w:cs="Arial"/>
          <w:color w:val="010000"/>
          <w:sz w:val="20"/>
        </w:rPr>
        <w:t xml:space="preserve"> with the contract value of</w:t>
      </w:r>
      <w:r w:rsidR="002D01B9">
        <w:rPr>
          <w:rFonts w:ascii="Arial" w:hAnsi="Arial" w:cs="Arial"/>
          <w:color w:val="010000"/>
          <w:sz w:val="20"/>
        </w:rPr>
        <w:t xml:space="preserve"> US$</w:t>
      </w:r>
      <w:r w:rsidRPr="00211E47">
        <w:rPr>
          <w:rFonts w:ascii="Arial" w:hAnsi="Arial" w:cs="Arial"/>
          <w:color w:val="010000"/>
          <w:sz w:val="20"/>
        </w:rPr>
        <w:t>15,154,141.0 and may be adjusted only as permitted in the Contract.</w:t>
      </w:r>
    </w:p>
    <w:p w14:paraId="164A9E89" w14:textId="77777777" w:rsidR="006661CF" w:rsidRPr="00211E47" w:rsidRDefault="006A289B" w:rsidP="002D01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>Basic parameters and material types of the vessel:</w:t>
      </w:r>
    </w:p>
    <w:p w14:paraId="47B0AD29" w14:textId="7BD259DD" w:rsidR="006661CF" w:rsidRPr="00211E47" w:rsidRDefault="006A289B" w:rsidP="002D01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>Basic parameters of the hull:</w:t>
      </w:r>
    </w:p>
    <w:p w14:paraId="5FEFCAFE" w14:textId="77777777" w:rsidR="006661CF" w:rsidRPr="00211E47" w:rsidRDefault="006A289B" w:rsidP="002D0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>The hull will be built according to DNV rules and supervision with the following parameters: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2340"/>
        <w:gridCol w:w="6687"/>
      </w:tblGrid>
      <w:tr w:rsidR="006661CF" w:rsidRPr="00211E47" w14:paraId="05AE0FCE" w14:textId="77777777" w:rsidTr="00211E47"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B6EF5" w14:textId="2C82D4DC" w:rsidR="006661CF" w:rsidRPr="00211E47" w:rsidRDefault="006A289B" w:rsidP="002D0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1E47">
              <w:rPr>
                <w:rFonts w:ascii="Arial" w:hAnsi="Arial" w:cs="Arial"/>
                <w:color w:val="010000"/>
                <w:sz w:val="20"/>
              </w:rPr>
              <w:t>Overall length:</w:t>
            </w:r>
          </w:p>
        </w:tc>
        <w:tc>
          <w:tcPr>
            <w:tcW w:w="3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C6A13" w14:textId="77777777" w:rsidR="006661CF" w:rsidRPr="00211E47" w:rsidRDefault="006A289B" w:rsidP="002D0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1E47">
              <w:rPr>
                <w:rFonts w:ascii="Arial" w:hAnsi="Arial" w:cs="Arial"/>
                <w:color w:val="010000"/>
                <w:sz w:val="20"/>
              </w:rPr>
              <w:t>116.50 m</w:t>
            </w:r>
          </w:p>
        </w:tc>
      </w:tr>
      <w:tr w:rsidR="006661CF" w:rsidRPr="00211E47" w14:paraId="126C3F5A" w14:textId="77777777" w:rsidTr="00211E47"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10E75" w14:textId="77777777" w:rsidR="006661CF" w:rsidRPr="00211E47" w:rsidRDefault="006A289B" w:rsidP="002D0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1E47">
              <w:rPr>
                <w:rFonts w:ascii="Arial" w:hAnsi="Arial" w:cs="Arial"/>
                <w:color w:val="010000"/>
                <w:sz w:val="20"/>
              </w:rPr>
              <w:t>Length:</w:t>
            </w:r>
          </w:p>
        </w:tc>
        <w:tc>
          <w:tcPr>
            <w:tcW w:w="3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44FF6" w14:textId="77777777" w:rsidR="006661CF" w:rsidRPr="00211E47" w:rsidRDefault="006A289B" w:rsidP="002D0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1E47">
              <w:rPr>
                <w:rFonts w:ascii="Arial" w:hAnsi="Arial" w:cs="Arial"/>
                <w:color w:val="010000"/>
                <w:sz w:val="20"/>
              </w:rPr>
              <w:t xml:space="preserve"> 107.10 m</w:t>
            </w:r>
          </w:p>
        </w:tc>
      </w:tr>
      <w:tr w:rsidR="006661CF" w:rsidRPr="00211E47" w14:paraId="2BA900E9" w14:textId="77777777" w:rsidTr="00211E47"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71A66" w14:textId="77777777" w:rsidR="006661CF" w:rsidRPr="00211E47" w:rsidRDefault="006A289B" w:rsidP="002D0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1E47">
              <w:rPr>
                <w:rFonts w:ascii="Arial" w:hAnsi="Arial" w:cs="Arial"/>
                <w:color w:val="010000"/>
                <w:sz w:val="20"/>
              </w:rPr>
              <w:t>Width:</w:t>
            </w:r>
          </w:p>
        </w:tc>
        <w:tc>
          <w:tcPr>
            <w:tcW w:w="3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CB42D" w14:textId="77777777" w:rsidR="006661CF" w:rsidRPr="00211E47" w:rsidRDefault="006A289B" w:rsidP="002D0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1E47">
              <w:rPr>
                <w:rFonts w:ascii="Arial" w:hAnsi="Arial" w:cs="Arial"/>
                <w:color w:val="010000"/>
                <w:sz w:val="20"/>
              </w:rPr>
              <w:t xml:space="preserve"> 23.00 m</w:t>
            </w:r>
          </w:p>
        </w:tc>
      </w:tr>
      <w:tr w:rsidR="006661CF" w:rsidRPr="00211E47" w14:paraId="20D76550" w14:textId="77777777" w:rsidTr="00211E47"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4A6F7" w14:textId="77777777" w:rsidR="006661CF" w:rsidRPr="00211E47" w:rsidRDefault="006A289B" w:rsidP="002D0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1E47">
              <w:rPr>
                <w:rFonts w:ascii="Arial" w:hAnsi="Arial" w:cs="Arial"/>
                <w:color w:val="010000"/>
                <w:sz w:val="20"/>
              </w:rPr>
              <w:t>Height to main deck:</w:t>
            </w:r>
          </w:p>
        </w:tc>
        <w:tc>
          <w:tcPr>
            <w:tcW w:w="37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60DAD" w14:textId="77777777" w:rsidR="006661CF" w:rsidRPr="00211E47" w:rsidRDefault="006A289B" w:rsidP="002D0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1E47">
              <w:rPr>
                <w:rFonts w:ascii="Arial" w:hAnsi="Arial" w:cs="Arial"/>
                <w:color w:val="010000"/>
                <w:sz w:val="20"/>
              </w:rPr>
              <w:t xml:space="preserve"> 9.50 m</w:t>
            </w:r>
          </w:p>
        </w:tc>
      </w:tr>
    </w:tbl>
    <w:p w14:paraId="02568223" w14:textId="7CFC1871" w:rsidR="006661CF" w:rsidRPr="00211E47" w:rsidRDefault="006A289B" w:rsidP="002D01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 xml:space="preserve">The preliminary estimated </w:t>
      </w:r>
      <w:r w:rsidR="00211E47" w:rsidRPr="00211E47">
        <w:rPr>
          <w:rFonts w:ascii="Arial" w:hAnsi="Arial" w:cs="Arial"/>
          <w:color w:val="010000"/>
          <w:sz w:val="20"/>
        </w:rPr>
        <w:t>weight</w:t>
      </w:r>
      <w:r w:rsidRPr="00211E47">
        <w:rPr>
          <w:rFonts w:ascii="Arial" w:hAnsi="Arial" w:cs="Arial"/>
          <w:color w:val="010000"/>
          <w:sz w:val="20"/>
        </w:rPr>
        <w:t xml:space="preserve"> of the total hull is: 4,069,500.0 kg, including:</w:t>
      </w:r>
    </w:p>
    <w:p w14:paraId="4BCB248C" w14:textId="26E511BB" w:rsidR="006661CF" w:rsidRPr="00211E47" w:rsidRDefault="002D01B9" w:rsidP="002D01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3,605,000.0</w:t>
      </w:r>
      <w:r w:rsidR="006A289B" w:rsidRPr="00211E47">
        <w:rPr>
          <w:rFonts w:ascii="Arial" w:hAnsi="Arial" w:cs="Arial"/>
          <w:color w:val="010000"/>
          <w:sz w:val="20"/>
        </w:rPr>
        <w:t>kg of ship hull steel (including weld</w:t>
      </w:r>
      <w:r w:rsidR="00211E47" w:rsidRPr="00211E47">
        <w:rPr>
          <w:rFonts w:ascii="Arial" w:hAnsi="Arial" w:cs="Arial"/>
          <w:color w:val="010000"/>
          <w:sz w:val="20"/>
        </w:rPr>
        <w:t>s</w:t>
      </w:r>
      <w:r w:rsidR="006A289B" w:rsidRPr="00211E47">
        <w:rPr>
          <w:rFonts w:ascii="Arial" w:hAnsi="Arial" w:cs="Arial"/>
          <w:color w:val="010000"/>
          <w:sz w:val="20"/>
        </w:rPr>
        <w:t>), steel grade is VLA/ VLA36;</w:t>
      </w:r>
    </w:p>
    <w:p w14:paraId="4B45F2AA" w14:textId="5E4BB335" w:rsidR="006661CF" w:rsidRPr="00211E47" w:rsidRDefault="002D01B9" w:rsidP="002D01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197,000.0</w:t>
      </w:r>
      <w:r w:rsidR="006A289B" w:rsidRPr="00211E47">
        <w:rPr>
          <w:rFonts w:ascii="Arial" w:hAnsi="Arial" w:cs="Arial"/>
          <w:color w:val="010000"/>
          <w:sz w:val="20"/>
        </w:rPr>
        <w:t>kg of pipes including bolts, nuts, gaskets, welding materials, pipe holders and pipe clamps;</w:t>
      </w:r>
    </w:p>
    <w:p w14:paraId="557B5280" w14:textId="02D22353" w:rsidR="006661CF" w:rsidRPr="00211E47" w:rsidRDefault="002D01B9" w:rsidP="002D01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267,500.0</w:t>
      </w:r>
      <w:bookmarkStart w:id="0" w:name="_GoBack"/>
      <w:bookmarkEnd w:id="0"/>
      <w:r w:rsidR="006A289B" w:rsidRPr="00211E47">
        <w:rPr>
          <w:rFonts w:ascii="Arial" w:hAnsi="Arial" w:cs="Arial"/>
          <w:color w:val="010000"/>
          <w:sz w:val="20"/>
        </w:rPr>
        <w:t>kg of steel accessories including weld</w:t>
      </w:r>
      <w:r w:rsidR="00211E47" w:rsidRPr="00211E47">
        <w:rPr>
          <w:rFonts w:ascii="Arial" w:hAnsi="Arial" w:cs="Arial"/>
          <w:color w:val="010000"/>
          <w:sz w:val="20"/>
        </w:rPr>
        <w:t>s</w:t>
      </w:r>
      <w:r w:rsidR="006A289B" w:rsidRPr="00211E47">
        <w:rPr>
          <w:rFonts w:ascii="Arial" w:hAnsi="Arial" w:cs="Arial"/>
          <w:color w:val="010000"/>
          <w:sz w:val="20"/>
        </w:rPr>
        <w:t xml:space="preserve"> such as stairs, railings, platforms and other accessories </w:t>
      </w:r>
      <w:r w:rsidR="00211E47" w:rsidRPr="00211E47">
        <w:rPr>
          <w:rFonts w:ascii="Arial" w:hAnsi="Arial" w:cs="Arial"/>
          <w:color w:val="010000"/>
          <w:sz w:val="20"/>
        </w:rPr>
        <w:t xml:space="preserve">that </w:t>
      </w:r>
      <w:r w:rsidR="006A289B" w:rsidRPr="00211E47">
        <w:rPr>
          <w:rFonts w:ascii="Arial" w:hAnsi="Arial" w:cs="Arial"/>
          <w:color w:val="010000"/>
          <w:sz w:val="20"/>
        </w:rPr>
        <w:t>are pre-fabricated and installed into the ship's hull as specified in the ship's hull specifications.</w:t>
      </w:r>
    </w:p>
    <w:p w14:paraId="7718E42B" w14:textId="0C0C513A" w:rsidR="006661CF" w:rsidRPr="00211E47" w:rsidRDefault="006A289B" w:rsidP="002D01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 xml:space="preserve">The quantity of materials supplied by the buyer as per Appendix 1 and the quantity of equipment supplied and painted by the shipbuilder shall not be included in the calculation of the hull </w:t>
      </w:r>
      <w:r w:rsidR="00211E47" w:rsidRPr="00211E47">
        <w:rPr>
          <w:rFonts w:ascii="Arial" w:hAnsi="Arial" w:cs="Arial"/>
          <w:color w:val="010000"/>
          <w:sz w:val="20"/>
        </w:rPr>
        <w:t>weight</w:t>
      </w:r>
      <w:r w:rsidRPr="00211E47">
        <w:rPr>
          <w:rFonts w:ascii="Arial" w:hAnsi="Arial" w:cs="Arial"/>
          <w:color w:val="010000"/>
          <w:sz w:val="20"/>
        </w:rPr>
        <w:t xml:space="preserve"> and shall be installed or assembled by the shipbuilder as part of the original contract price.</w:t>
      </w:r>
    </w:p>
    <w:p w14:paraId="10F64680" w14:textId="77777777" w:rsidR="006661CF" w:rsidRPr="00211E47" w:rsidRDefault="006A289B" w:rsidP="002D01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>Structural fabrication</w:t>
      </w:r>
    </w:p>
    <w:p w14:paraId="52FB6029" w14:textId="1DDD3E14" w:rsidR="006661CF" w:rsidRPr="00211E47" w:rsidRDefault="006A289B" w:rsidP="002D0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 xml:space="preserve">Construction as </w:t>
      </w:r>
      <w:r w:rsidR="00211E47" w:rsidRPr="00211E47">
        <w:rPr>
          <w:rFonts w:ascii="Arial" w:hAnsi="Arial" w:cs="Arial"/>
          <w:color w:val="010000"/>
          <w:sz w:val="20"/>
        </w:rPr>
        <w:t xml:space="preserve">drawings </w:t>
      </w:r>
      <w:r w:rsidRPr="00211E47">
        <w:rPr>
          <w:rFonts w:ascii="Arial" w:hAnsi="Arial" w:cs="Arial"/>
          <w:color w:val="010000"/>
          <w:sz w:val="20"/>
        </w:rPr>
        <w:t>approved and provided by the buyer.</w:t>
      </w:r>
    </w:p>
    <w:p w14:paraId="10A4DF90" w14:textId="25FB2195" w:rsidR="006661CF" w:rsidRPr="00211E47" w:rsidRDefault="006A289B" w:rsidP="002D01B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lastRenderedPageBreak/>
        <w:t>Main material:</w:t>
      </w:r>
    </w:p>
    <w:p w14:paraId="2021428C" w14:textId="77777777" w:rsidR="006661CF" w:rsidRPr="00211E47" w:rsidRDefault="006A289B" w:rsidP="002D01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>The builder will provide the types of materials according to the requirements and standards agreed in the Contract Appendix with the buyer and ensure registration requirements.</w:t>
      </w:r>
    </w:p>
    <w:p w14:paraId="3702C748" w14:textId="77777777" w:rsidR="006661CF" w:rsidRPr="00211E47" w:rsidRDefault="006A289B" w:rsidP="002D0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>Project’s progress: 14 months from the date of starting corrugated iron cutting.</w:t>
      </w:r>
    </w:p>
    <w:p w14:paraId="00A3E782" w14:textId="4BA33811" w:rsidR="006661CF" w:rsidRPr="00211E47" w:rsidRDefault="006A289B" w:rsidP="002D0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>Implementation venue: Song Cam Shipbuilding Joint Stock Company</w:t>
      </w:r>
      <w:r w:rsidR="00211E47" w:rsidRPr="00211E47">
        <w:rPr>
          <w:rFonts w:ascii="Arial" w:hAnsi="Arial" w:cs="Arial"/>
          <w:color w:val="010000"/>
          <w:sz w:val="20"/>
        </w:rPr>
        <w:t>,</w:t>
      </w:r>
      <w:r w:rsidRPr="00211E47">
        <w:rPr>
          <w:rFonts w:ascii="Arial" w:hAnsi="Arial" w:cs="Arial"/>
          <w:color w:val="010000"/>
          <w:sz w:val="20"/>
        </w:rPr>
        <w:t xml:space="preserve"> Ngo Hung Village, An Hong Commune, An Duong District, Hai Phong City.</w:t>
      </w:r>
    </w:p>
    <w:p w14:paraId="2AF50B3E" w14:textId="00430675" w:rsidR="006661CF" w:rsidRPr="00211E47" w:rsidRDefault="006A289B" w:rsidP="002D0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 xml:space="preserve">‎‎Article 2. </w:t>
      </w:r>
      <w:r w:rsidR="00211E47" w:rsidRPr="00211E47">
        <w:rPr>
          <w:rFonts w:ascii="Arial" w:hAnsi="Arial" w:cs="Arial"/>
          <w:color w:val="010000"/>
          <w:sz w:val="20"/>
        </w:rPr>
        <w:t xml:space="preserve">The </w:t>
      </w:r>
      <w:r w:rsidR="002D01B9">
        <w:rPr>
          <w:rFonts w:ascii="Arial" w:hAnsi="Arial" w:cs="Arial"/>
          <w:color w:val="010000"/>
          <w:sz w:val="20"/>
        </w:rPr>
        <w:t>Managing Director</w:t>
      </w:r>
      <w:r w:rsidRPr="00211E47">
        <w:rPr>
          <w:rFonts w:ascii="Arial" w:hAnsi="Arial" w:cs="Arial"/>
          <w:color w:val="010000"/>
          <w:sz w:val="20"/>
        </w:rPr>
        <w:t xml:space="preserve"> of Song Cam Shipbuilding Joint Stock Company </w:t>
      </w:r>
      <w:r w:rsidR="00211E47" w:rsidRPr="00211E47">
        <w:rPr>
          <w:rFonts w:ascii="Arial" w:hAnsi="Arial" w:cs="Arial"/>
          <w:color w:val="010000"/>
          <w:sz w:val="20"/>
        </w:rPr>
        <w:t xml:space="preserve">shall </w:t>
      </w:r>
      <w:r w:rsidRPr="00211E47">
        <w:rPr>
          <w:rFonts w:ascii="Arial" w:hAnsi="Arial" w:cs="Arial"/>
          <w:color w:val="010000"/>
          <w:sz w:val="20"/>
        </w:rPr>
        <w:t xml:space="preserve">sign a contract with </w:t>
      </w:r>
      <w:proofErr w:type="spellStart"/>
      <w:r w:rsidRPr="00211E47">
        <w:rPr>
          <w:rFonts w:ascii="Arial" w:hAnsi="Arial" w:cs="Arial"/>
          <w:color w:val="010000"/>
          <w:sz w:val="20"/>
        </w:rPr>
        <w:t>Myklebust</w:t>
      </w:r>
      <w:proofErr w:type="spellEnd"/>
      <w:r w:rsidRPr="00211E4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11E47">
        <w:rPr>
          <w:rFonts w:ascii="Arial" w:hAnsi="Arial" w:cs="Arial"/>
          <w:color w:val="010000"/>
          <w:sz w:val="20"/>
        </w:rPr>
        <w:t>Verft</w:t>
      </w:r>
      <w:proofErr w:type="spellEnd"/>
      <w:r w:rsidRPr="00211E47">
        <w:rPr>
          <w:rFonts w:ascii="Arial" w:hAnsi="Arial" w:cs="Arial"/>
          <w:color w:val="010000"/>
          <w:sz w:val="20"/>
        </w:rPr>
        <w:t xml:space="preserve"> AS and </w:t>
      </w:r>
      <w:r w:rsidR="00211E47" w:rsidRPr="00211E47">
        <w:rPr>
          <w:rFonts w:ascii="Arial" w:hAnsi="Arial" w:cs="Arial"/>
          <w:color w:val="010000"/>
          <w:sz w:val="20"/>
        </w:rPr>
        <w:t>implement</w:t>
      </w:r>
      <w:r w:rsidRPr="00211E47">
        <w:rPr>
          <w:rFonts w:ascii="Arial" w:hAnsi="Arial" w:cs="Arial"/>
          <w:color w:val="010000"/>
          <w:sz w:val="20"/>
        </w:rPr>
        <w:t xml:space="preserve"> according to the Company's production and business plan, ensuring compliance with </w:t>
      </w:r>
      <w:r w:rsidR="002D01B9">
        <w:rPr>
          <w:rFonts w:ascii="Arial" w:hAnsi="Arial" w:cs="Arial"/>
          <w:color w:val="010000"/>
          <w:sz w:val="20"/>
        </w:rPr>
        <w:t>applicable laws</w:t>
      </w:r>
      <w:r w:rsidRPr="00211E47">
        <w:rPr>
          <w:rFonts w:ascii="Arial" w:hAnsi="Arial" w:cs="Arial"/>
          <w:color w:val="010000"/>
          <w:sz w:val="20"/>
        </w:rPr>
        <w:t>.</w:t>
      </w:r>
    </w:p>
    <w:p w14:paraId="15BD1907" w14:textId="502FF5B4" w:rsidR="006661CF" w:rsidRPr="00211E47" w:rsidRDefault="006A289B" w:rsidP="002D0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bookmarkStart w:id="1" w:name="_heading=h.gjdgxs"/>
      <w:bookmarkEnd w:id="1"/>
      <w:r w:rsidRPr="00211E47">
        <w:rPr>
          <w:rFonts w:ascii="Arial" w:hAnsi="Arial" w:cs="Arial"/>
          <w:color w:val="010000"/>
          <w:sz w:val="20"/>
        </w:rPr>
        <w:t xml:space="preserve">‎‎Article 3. This </w:t>
      </w:r>
      <w:r w:rsidR="002D01B9">
        <w:rPr>
          <w:rFonts w:ascii="Arial" w:hAnsi="Arial" w:cs="Arial"/>
          <w:color w:val="010000"/>
          <w:sz w:val="20"/>
        </w:rPr>
        <w:t xml:space="preserve">Board </w:t>
      </w:r>
      <w:r w:rsidRPr="00211E47">
        <w:rPr>
          <w:rFonts w:ascii="Arial" w:hAnsi="Arial" w:cs="Arial"/>
          <w:color w:val="010000"/>
          <w:sz w:val="20"/>
        </w:rPr>
        <w:t xml:space="preserve">Decision takes effect from the date of its signing. </w:t>
      </w:r>
    </w:p>
    <w:p w14:paraId="4A06521C" w14:textId="2DCDECA7" w:rsidR="00211E47" w:rsidRPr="00211E47" w:rsidRDefault="00211E47" w:rsidP="002D0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1E47">
        <w:rPr>
          <w:rFonts w:ascii="Arial" w:hAnsi="Arial" w:cs="Arial"/>
          <w:color w:val="010000"/>
          <w:sz w:val="20"/>
        </w:rPr>
        <w:t xml:space="preserve">The </w:t>
      </w:r>
      <w:r w:rsidR="002D01B9">
        <w:rPr>
          <w:rFonts w:ascii="Arial" w:hAnsi="Arial" w:cs="Arial"/>
          <w:color w:val="010000"/>
          <w:sz w:val="20"/>
        </w:rPr>
        <w:t>Managing Director</w:t>
      </w:r>
      <w:r w:rsidRPr="00211E47">
        <w:rPr>
          <w:rFonts w:ascii="Arial" w:hAnsi="Arial" w:cs="Arial"/>
          <w:color w:val="010000"/>
          <w:sz w:val="20"/>
        </w:rPr>
        <w:t xml:space="preserve"> of Song Cam Ship</w:t>
      </w:r>
      <w:r w:rsidR="002D01B9">
        <w:rPr>
          <w:rFonts w:ascii="Arial" w:hAnsi="Arial" w:cs="Arial"/>
          <w:color w:val="010000"/>
          <w:sz w:val="20"/>
        </w:rPr>
        <w:t>building Joint Stock Company is</w:t>
      </w:r>
      <w:r w:rsidRPr="00211E47">
        <w:rPr>
          <w:rFonts w:ascii="Arial" w:hAnsi="Arial" w:cs="Arial"/>
          <w:color w:val="010000"/>
          <w:sz w:val="20"/>
        </w:rPr>
        <w:t xml:space="preserve"> responsible for the implementation of this Decision.</w:t>
      </w:r>
    </w:p>
    <w:sectPr w:rsidR="00211E47" w:rsidRPr="00211E47" w:rsidSect="006A289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676D"/>
    <w:multiLevelType w:val="multilevel"/>
    <w:tmpl w:val="30E4FA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E516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8661CD5"/>
    <w:multiLevelType w:val="multilevel"/>
    <w:tmpl w:val="B7EA355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88F35ED"/>
    <w:multiLevelType w:val="multilevel"/>
    <w:tmpl w:val="742AE8AE"/>
    <w:lvl w:ilvl="0">
      <w:start w:val="3"/>
      <w:numFmt w:val="decimal"/>
      <w:lvlText w:val="%1"/>
      <w:lvlJc w:val="left"/>
      <w:pPr>
        <w:ind w:left="435" w:hanging="435"/>
      </w:pPr>
      <w:rPr>
        <w:b w:val="0"/>
        <w:i w:val="0"/>
        <w:sz w:val="2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F"/>
    <w:rsid w:val="00211E47"/>
    <w:rsid w:val="002D01B9"/>
    <w:rsid w:val="006661CF"/>
    <w:rsid w:val="006A289B"/>
    <w:rsid w:val="007C6512"/>
    <w:rsid w:val="00BC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BD6A6"/>
  <w15:docId w15:val="{643703DE-E2D2-457E-9C48-956E351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pPr>
      <w:spacing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6"/>
      <w:szCs w:val="16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/T3w0XbJenlh4qfTCIsVQox4fg==">CgMxLjAyCGguZ2pkZ3hzOAByITFXWFBzTzRoQ1FZQmhQZkNqVExqMFA3eWFMc1B1dF8wVA==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2024-03-22T03:27:00Z</dcterms:created>
  <dcterms:modified xsi:type="dcterms:W3CDTF">2024-03-22T03:27:00Z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f6fb4869ce9ed534df359c8afd1626a48ff98886105b5b054d37bafbdd77cf7c</vt:lpwstr>
  </property>
</Properties>
</file>