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40A4" w14:textId="6EE7CE0F" w:rsidR="00511281" w:rsidRPr="00C63CBD" w:rsidRDefault="00A9177E" w:rsidP="00A9177E">
      <w:pPr>
        <w:pBdr>
          <w:top w:val="nil"/>
          <w:left w:val="nil"/>
          <w:bottom w:val="nil"/>
          <w:right w:val="nil"/>
          <w:between w:val="nil"/>
        </w:pBdr>
        <w:tabs>
          <w:tab w:val="left" w:pos="548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MCC: Explanation on </w:t>
      </w:r>
      <w:r w:rsidR="00481321" w:rsidRPr="00C63CBD">
        <w:rPr>
          <w:rFonts w:ascii="Arial" w:hAnsi="Arial" w:cs="Arial"/>
          <w:b/>
          <w:color w:val="010000"/>
          <w:sz w:val="20"/>
        </w:rPr>
        <w:t xml:space="preserve">Financial Statements 2023 </w:t>
      </w:r>
    </w:p>
    <w:p w14:paraId="756D84CE" w14:textId="77777777" w:rsidR="00511281" w:rsidRPr="00C63CBD" w:rsidRDefault="00481321" w:rsidP="00A917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3CBD">
        <w:rPr>
          <w:rFonts w:ascii="Arial" w:hAnsi="Arial" w:cs="Arial"/>
          <w:color w:val="010000"/>
          <w:sz w:val="20"/>
        </w:rPr>
        <w:t>On March 9, 2024, High - Grade Brick - Tile Corporation announced Official Dispatch No. 05/2024/CBTT-MCC on explaining the difference in profit after tax of the Audited Financial Statements of this year compared to last year as follows: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452"/>
        <w:gridCol w:w="2037"/>
        <w:gridCol w:w="2051"/>
        <w:gridCol w:w="2131"/>
        <w:gridCol w:w="1278"/>
      </w:tblGrid>
      <w:tr w:rsidR="00511281" w:rsidRPr="00C63CBD" w14:paraId="486C68CA" w14:textId="77777777" w:rsidTr="00481321">
        <w:tc>
          <w:tcPr>
            <w:tcW w:w="231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CB9A4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687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A8426" w14:textId="2B6C84EF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Audited Financial Statement</w:t>
            </w:r>
            <w:r w:rsidR="00A9177E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11281" w:rsidRPr="00C63CBD" w14:paraId="74D23CD6" w14:textId="77777777" w:rsidTr="00481321">
        <w:tc>
          <w:tcPr>
            <w:tcW w:w="231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CF610" w14:textId="77777777" w:rsidR="00511281" w:rsidRPr="00C63CBD" w:rsidRDefault="0051128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884C6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This year</w:t>
            </w:r>
          </w:p>
        </w:tc>
        <w:tc>
          <w:tcPr>
            <w:tcW w:w="73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A8C48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Last year</w:t>
            </w:r>
          </w:p>
        </w:tc>
        <w:tc>
          <w:tcPr>
            <w:tcW w:w="122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4634D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This year compared to last year</w:t>
            </w:r>
          </w:p>
        </w:tc>
      </w:tr>
      <w:tr w:rsidR="00511281" w:rsidRPr="00C63CBD" w14:paraId="146C2FA0" w14:textId="77777777" w:rsidTr="00481321">
        <w:tc>
          <w:tcPr>
            <w:tcW w:w="231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4E2F7" w14:textId="77777777" w:rsidR="00511281" w:rsidRPr="00C63CBD" w:rsidRDefault="0051128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4044E" w14:textId="77777777" w:rsidR="00511281" w:rsidRPr="00C63CBD" w:rsidRDefault="0051128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617B9" w14:textId="77777777" w:rsidR="00511281" w:rsidRPr="00C63CBD" w:rsidRDefault="0051128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909EB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E63EC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511281" w:rsidRPr="00C63CBD" w14:paraId="21BC86C4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BCD44" w14:textId="68CB5BC6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</w:t>
            </w:r>
            <w:r w:rsidR="00C63CBD" w:rsidRPr="00C63CBD">
              <w:rPr>
                <w:rFonts w:ascii="Arial" w:hAnsi="Arial" w:cs="Arial"/>
                <w:color w:val="010000"/>
                <w:sz w:val="20"/>
              </w:rPr>
              <w:t>.</w:t>
            </w:r>
            <w:r w:rsidRPr="00C63CBD">
              <w:rPr>
                <w:rFonts w:ascii="Arial" w:hAnsi="Arial" w:cs="Arial"/>
                <w:color w:val="010000"/>
                <w:sz w:val="20"/>
              </w:rPr>
              <w:t xml:space="preserve"> Revenue from goods sales and service provision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E6FC2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17,286,549,382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25F50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52,220,965,079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F40E1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(34,934,415,697)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8AFC9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-66.9%</w:t>
            </w:r>
          </w:p>
        </w:tc>
      </w:tr>
      <w:tr w:rsidR="00511281" w:rsidRPr="00C63CBD" w14:paraId="70A87D3A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AD163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2.. Revenue deductions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FA80B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E891D" w14:textId="77777777" w:rsidR="00511281" w:rsidRPr="00C63CBD" w:rsidRDefault="00511281" w:rsidP="0048132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ECC37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D3A0B" w14:textId="77777777" w:rsidR="00511281" w:rsidRPr="00C63CBD" w:rsidRDefault="00511281" w:rsidP="0048132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11281" w:rsidRPr="00C63CBD" w14:paraId="3E4E72FC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913FB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3. Net revenue from goods sales and service provision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04C0A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17,286,549,382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1FCE3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52,220,965,079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F87D3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(34,934,415,697)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A9121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-66.9%</w:t>
            </w:r>
          </w:p>
        </w:tc>
      </w:tr>
      <w:tr w:rsidR="00511281" w:rsidRPr="00C63CBD" w14:paraId="397A88E7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DF8C6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4. Cost of goods sold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DABDB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13,245,039,498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6C7EC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42,052,125,502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0A0FE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(28,807,086,004)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D1E92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-68.5%</w:t>
            </w:r>
          </w:p>
        </w:tc>
      </w:tr>
      <w:tr w:rsidR="00511281" w:rsidRPr="00C63CBD" w14:paraId="72785CCA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2D2CC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5. Gross profit from goods sale and services provision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D9D86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4,041,509,884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0E71C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10,168,839,577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EF750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(6,127,329,693)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27F3F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-60.3%</w:t>
            </w:r>
          </w:p>
        </w:tc>
      </w:tr>
      <w:tr w:rsidR="00511281" w:rsidRPr="00C63CBD" w14:paraId="440D3C81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CA779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6. Revenue from financial activities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18A9F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6,389,783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FE268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49,837,053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D9828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(43,447,270)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31159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-87.2%</w:t>
            </w:r>
          </w:p>
        </w:tc>
      </w:tr>
      <w:tr w:rsidR="00511281" w:rsidRPr="00C63CBD" w14:paraId="05599E34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6EB0B" w14:textId="5C8C9B10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7. Financial expenses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3D818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456,000,000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5D50D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404,317,808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B46BD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51,682,192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59387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12.8%</w:t>
            </w:r>
          </w:p>
        </w:tc>
      </w:tr>
      <w:tr w:rsidR="00511281" w:rsidRPr="00C63CBD" w14:paraId="0DC46802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6E38A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 Of which: Interest expenses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41D3E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456,000,000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2B3E1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404,317,808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BAF34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51,682,192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D5075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12.8%</w:t>
            </w:r>
          </w:p>
        </w:tc>
      </w:tr>
      <w:tr w:rsidR="00511281" w:rsidRPr="00C63CBD" w14:paraId="4F721D86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6BD7D" w14:textId="19259061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8. Selling expenses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0370E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787,004,531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CFB57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1,460,943,673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2F7A0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(673,939,142)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25F62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-46.1%</w:t>
            </w:r>
          </w:p>
        </w:tc>
      </w:tr>
      <w:tr w:rsidR="00511281" w:rsidRPr="00C63CBD" w14:paraId="3945125E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37F3C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9. General and administrative expense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50DAC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3,155,374,722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A3009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4,688,100,598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1BE16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(1,532,725,876)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60C5C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-32.7%</w:t>
            </w:r>
          </w:p>
        </w:tc>
      </w:tr>
      <w:tr w:rsidR="00511281" w:rsidRPr="00C63CBD" w14:paraId="6E70CD2C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E7E09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10. Net profit from business activities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5E999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(350,479,586)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F739E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3,665,314,551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3307F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(4,015,794,137)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81F2D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-109.6%</w:t>
            </w:r>
          </w:p>
        </w:tc>
      </w:tr>
      <w:tr w:rsidR="00511281" w:rsidRPr="00C63CBD" w14:paraId="68A43A9F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C0A4A" w14:textId="51208B5D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11. Other incomes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3BC15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1,548,959,878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34D91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1,181,125,766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388A5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367,834,112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FB08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31.1%</w:t>
            </w:r>
          </w:p>
        </w:tc>
      </w:tr>
      <w:tr w:rsidR="00511281" w:rsidRPr="00C63CBD" w14:paraId="63046C0F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9C1FF" w14:textId="688F5C7A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12. Other expenses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4447B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776,395,169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3EB71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482,680,853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C0FD6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293,714,316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87104" w14:textId="77777777" w:rsidR="00511281" w:rsidRPr="00C63CBD" w:rsidRDefault="00511281" w:rsidP="0048132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11281" w:rsidRPr="00C63CBD" w14:paraId="1A94D5DE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271D6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lastRenderedPageBreak/>
              <w:t>13. Other profits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5F848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772,564,709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2BE52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698,444,913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C134C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74,119,796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D3DB3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10.6%</w:t>
            </w:r>
          </w:p>
        </w:tc>
      </w:tr>
      <w:tr w:rsidR="00511281" w:rsidRPr="00C63CBD" w14:paraId="36764AED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D7752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14. Total profit before tax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75E2D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422,085,123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4D8EF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4,363,759,464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33AF1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(3,941,674,341)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8FB88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-90.3%</w:t>
            </w:r>
          </w:p>
        </w:tc>
      </w:tr>
      <w:tr w:rsidR="00511281" w:rsidRPr="00C63CBD" w14:paraId="06F6F930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53A9D" w14:textId="5EDBB186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 xml:space="preserve">15. Current corporate income tax 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6A081" w14:textId="77777777" w:rsidR="00511281" w:rsidRPr="00C63CBD" w:rsidRDefault="00511281" w:rsidP="0048132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5E4A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882,000,918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6063D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(882,000,918)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A2555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-100.0%</w:t>
            </w:r>
          </w:p>
        </w:tc>
      </w:tr>
      <w:tr w:rsidR="00511281" w:rsidRPr="00C63CBD" w14:paraId="49A65EE7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2489B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16. Deferred corporate income tax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8358D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269,407,763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B5ADB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(9,249,024)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96E7B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278,656,787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04650" w14:textId="42C580FB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-3</w:t>
            </w:r>
            <w:r w:rsidR="00C63CBD" w:rsidRPr="00C63CBD">
              <w:rPr>
                <w:rFonts w:ascii="Arial" w:hAnsi="Arial" w:cs="Arial"/>
                <w:color w:val="010000"/>
                <w:sz w:val="20"/>
              </w:rPr>
              <w:t>,</w:t>
            </w:r>
            <w:r w:rsidRPr="00C63CBD">
              <w:rPr>
                <w:rFonts w:ascii="Arial" w:hAnsi="Arial" w:cs="Arial"/>
                <w:color w:val="010000"/>
                <w:sz w:val="20"/>
              </w:rPr>
              <w:t>012.8%</w:t>
            </w:r>
          </w:p>
        </w:tc>
      </w:tr>
      <w:tr w:rsidR="00511281" w:rsidRPr="00C63CBD" w14:paraId="2A2EE867" w14:textId="77777777" w:rsidTr="00481321"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396B8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17. Profit after tax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9B94E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152,677,360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6C279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3,491,007,570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F6D54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(3,338,330,210)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21365" w14:textId="77777777" w:rsidR="00511281" w:rsidRPr="00C63CBD" w:rsidRDefault="00481321" w:rsidP="00481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3CBD">
              <w:rPr>
                <w:rFonts w:ascii="Arial" w:hAnsi="Arial" w:cs="Arial"/>
                <w:color w:val="010000"/>
                <w:sz w:val="20"/>
              </w:rPr>
              <w:t>-95.6%</w:t>
            </w:r>
          </w:p>
        </w:tc>
      </w:tr>
    </w:tbl>
    <w:p w14:paraId="649681AC" w14:textId="5532253E" w:rsidR="00511281" w:rsidRPr="00C63CBD" w:rsidRDefault="00481321" w:rsidP="00A917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3CBD">
        <w:rPr>
          <w:rFonts w:ascii="Arial" w:hAnsi="Arial" w:cs="Arial"/>
          <w:color w:val="010000"/>
          <w:sz w:val="20"/>
        </w:rPr>
        <w:t xml:space="preserve">This year's profit after tax decreased by 95.6% compared to last year because this year there was no longer production and trading of construction stone, </w:t>
      </w:r>
      <w:r w:rsidR="00C63CBD" w:rsidRPr="00C63CBD">
        <w:rPr>
          <w:rFonts w:ascii="Arial" w:hAnsi="Arial" w:cs="Arial"/>
          <w:color w:val="010000"/>
          <w:sz w:val="20"/>
        </w:rPr>
        <w:t xml:space="preserve">and </w:t>
      </w:r>
      <w:r w:rsidRPr="00C63CBD">
        <w:rPr>
          <w:rFonts w:ascii="Arial" w:hAnsi="Arial" w:cs="Arial"/>
          <w:color w:val="010000"/>
          <w:sz w:val="20"/>
        </w:rPr>
        <w:t xml:space="preserve">consumption of clay, brick and tile products decreased due to the impact of </w:t>
      </w:r>
      <w:r w:rsidR="00A9177E">
        <w:rPr>
          <w:rFonts w:ascii="Arial" w:hAnsi="Arial" w:cs="Arial"/>
          <w:color w:val="010000"/>
          <w:sz w:val="20"/>
        </w:rPr>
        <w:t>property woes</w:t>
      </w:r>
      <w:r w:rsidRPr="00C63CBD">
        <w:rPr>
          <w:rFonts w:ascii="Arial" w:hAnsi="Arial" w:cs="Arial"/>
          <w:color w:val="010000"/>
          <w:sz w:val="20"/>
        </w:rPr>
        <w:t>, leading to Revenue decreas</w:t>
      </w:r>
      <w:r w:rsidR="00C63CBD" w:rsidRPr="00C63CBD">
        <w:rPr>
          <w:rFonts w:ascii="Arial" w:hAnsi="Arial" w:cs="Arial"/>
          <w:color w:val="010000"/>
          <w:sz w:val="20"/>
        </w:rPr>
        <w:t>ing</w:t>
      </w:r>
      <w:r w:rsidRPr="00C63CBD">
        <w:rPr>
          <w:rFonts w:ascii="Arial" w:hAnsi="Arial" w:cs="Arial"/>
          <w:color w:val="010000"/>
          <w:sz w:val="20"/>
        </w:rPr>
        <w:t xml:space="preserve"> by 66.9% and profit after tax decreas</w:t>
      </w:r>
      <w:r w:rsidR="00C63CBD" w:rsidRPr="00C63CBD">
        <w:rPr>
          <w:rFonts w:ascii="Arial" w:hAnsi="Arial" w:cs="Arial"/>
          <w:color w:val="010000"/>
          <w:sz w:val="20"/>
        </w:rPr>
        <w:t>ing</w:t>
      </w:r>
      <w:r w:rsidRPr="00C63CBD">
        <w:rPr>
          <w:rFonts w:ascii="Arial" w:hAnsi="Arial" w:cs="Arial"/>
          <w:color w:val="010000"/>
          <w:sz w:val="20"/>
        </w:rPr>
        <w:t xml:space="preserve"> by 95.6% </w:t>
      </w:r>
      <w:r w:rsidR="00A9177E">
        <w:rPr>
          <w:rFonts w:ascii="Arial" w:hAnsi="Arial" w:cs="Arial"/>
          <w:color w:val="010000"/>
          <w:sz w:val="20"/>
        </w:rPr>
        <w:t>year-on-year</w:t>
      </w:r>
      <w:bookmarkStart w:id="0" w:name="_GoBack"/>
      <w:bookmarkEnd w:id="0"/>
      <w:r w:rsidRPr="00C63CBD">
        <w:rPr>
          <w:rFonts w:ascii="Arial" w:hAnsi="Arial" w:cs="Arial"/>
          <w:color w:val="010000"/>
          <w:sz w:val="20"/>
        </w:rPr>
        <w:t>.</w:t>
      </w:r>
    </w:p>
    <w:sectPr w:rsidR="00511281" w:rsidRPr="00C63CBD" w:rsidSect="00481321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81"/>
    <w:rsid w:val="00481321"/>
    <w:rsid w:val="00511281"/>
    <w:rsid w:val="00A9177E"/>
    <w:rsid w:val="00C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A904A"/>
  <w15:docId w15:val="{F69BF225-CD98-485F-838A-CCB8D9D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E090A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DE5C6E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373C"/>
      <w:sz w:val="9"/>
      <w:szCs w:val="9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E090A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line="266" w:lineRule="auto"/>
      <w:jc w:val="center"/>
    </w:pPr>
    <w:rPr>
      <w:rFonts w:ascii="Arial" w:eastAsia="Arial" w:hAnsi="Arial" w:cs="Arial"/>
      <w:color w:val="DE5C6E"/>
      <w:sz w:val="20"/>
      <w:szCs w:val="20"/>
    </w:rPr>
  </w:style>
  <w:style w:type="paragraph" w:customStyle="1" w:styleId="Other0">
    <w:name w:val="Other"/>
    <w:basedOn w:val="Normal"/>
    <w:link w:val="Other"/>
    <w:pPr>
      <w:ind w:firstLine="190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9373C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0FGHFjgf7y+ByLTmnynzhRpr1g==">CgMxLjA4AHIhMWxhc0xJUXBrak9GVDUtYVFHdkk0dFVwZ1AxVUNSN1hz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2024-03-15T03:22:00Z</dcterms:created>
  <dcterms:modified xsi:type="dcterms:W3CDTF">2024-03-15T03:22:00Z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b8cf10ad0fb68621a588979e473f09c6802bf7af776cd96ca1ad835d48706a2f</vt:lpwstr>
  </property>
</Properties>
</file>