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7797" w:rsidRPr="00DD5419" w:rsidRDefault="000A22DD" w:rsidP="004364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D5419">
        <w:rPr>
          <w:rFonts w:ascii="Arial" w:hAnsi="Arial" w:cs="Arial"/>
          <w:b/>
          <w:color w:val="010000"/>
          <w:sz w:val="20"/>
        </w:rPr>
        <w:t>HEJ: Board Resolution</w:t>
      </w:r>
    </w:p>
    <w:p w14:paraId="00000002" w14:textId="77777777" w:rsidR="00C67797" w:rsidRPr="00DD5419" w:rsidRDefault="000A22DD" w:rsidP="004364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419">
        <w:rPr>
          <w:rFonts w:ascii="Arial" w:hAnsi="Arial" w:cs="Arial"/>
          <w:color w:val="010000"/>
          <w:sz w:val="20"/>
        </w:rPr>
        <w:t>On March 20, 2024, Vietnam Hydraulic Engineering Consultants Corporation - JSC announced Resolution No. 12/2024/NQ-HDQT on the voting of the Board of Directors at the meeting on March 20, 2024 as follows:</w:t>
      </w:r>
    </w:p>
    <w:p w14:paraId="00000003" w14:textId="30112312" w:rsidR="00C67797" w:rsidRPr="00DD5419" w:rsidRDefault="000A22DD" w:rsidP="004364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419">
        <w:rPr>
          <w:rFonts w:ascii="Arial" w:hAnsi="Arial" w:cs="Arial"/>
          <w:color w:val="010000"/>
          <w:sz w:val="20"/>
        </w:rPr>
        <w:t xml:space="preserve">‎‎Article 1. The Board of Directors unanimously approved the extension of the Annual General Meeting of Shareholders 2024 of Vietnam Hydraulic Engineering Consultants Corporation - JSC to </w:t>
      </w:r>
      <w:r w:rsidR="001E1C24">
        <w:rPr>
          <w:rFonts w:ascii="Arial" w:hAnsi="Arial" w:cs="Arial"/>
          <w:color w:val="010000"/>
          <w:sz w:val="20"/>
        </w:rPr>
        <w:t xml:space="preserve">before </w:t>
      </w:r>
      <w:bookmarkStart w:id="0" w:name="_GoBack"/>
      <w:bookmarkEnd w:id="0"/>
      <w:r w:rsidRPr="00DD5419">
        <w:rPr>
          <w:rFonts w:ascii="Arial" w:hAnsi="Arial" w:cs="Arial"/>
          <w:color w:val="010000"/>
          <w:sz w:val="20"/>
        </w:rPr>
        <w:t>June 30, 2024.</w:t>
      </w:r>
    </w:p>
    <w:p w14:paraId="00000004" w14:textId="61C871D3" w:rsidR="00C67797" w:rsidRPr="00DD5419" w:rsidRDefault="000A22DD" w:rsidP="004364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5419">
        <w:rPr>
          <w:rFonts w:ascii="Arial" w:hAnsi="Arial" w:cs="Arial"/>
          <w:color w:val="010000"/>
          <w:sz w:val="20"/>
        </w:rPr>
        <w:t>‎‎Article 2. This Resolution was unanimously approved by the Board of Directors. Mem</w:t>
      </w:r>
      <w:r w:rsidR="004364BB">
        <w:rPr>
          <w:rFonts w:ascii="Arial" w:hAnsi="Arial" w:cs="Arial"/>
          <w:color w:val="010000"/>
          <w:sz w:val="20"/>
        </w:rPr>
        <w:t>bers of the Board of Directors and Executive Board</w:t>
      </w:r>
      <w:r w:rsidRPr="00DD5419">
        <w:rPr>
          <w:rFonts w:ascii="Arial" w:hAnsi="Arial" w:cs="Arial"/>
          <w:color w:val="010000"/>
          <w:sz w:val="20"/>
        </w:rPr>
        <w:t>, Heads of units under the Corporation and related individuals are responsible for implementing this Resolution.</w:t>
      </w:r>
    </w:p>
    <w:sectPr w:rsidR="00C67797" w:rsidRPr="00DD5419" w:rsidSect="000A22D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7"/>
    <w:rsid w:val="000A22DD"/>
    <w:rsid w:val="001E1C24"/>
    <w:rsid w:val="004364BB"/>
    <w:rsid w:val="00C67797"/>
    <w:rsid w:val="00D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CE821"/>
  <w15:docId w15:val="{0B1BD29D-18CB-4A5A-86D5-BFC2C78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300" w:line="259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ECmFG2WS4AZXE+9+oWdlv7H23Q==">CgMxLjA4AHIhMTBWcnM5cEkySGZaSTVxemt1VmpUUUkydlNWcWRjdnVi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2024-03-25T04:18:00Z</dcterms:created>
  <dcterms:modified xsi:type="dcterms:W3CDTF">2024-03-25T04:18:00Z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d3560fa560373d8ba9cc412746e9aeadcf71999e03c19b8b247c32399bc20db5</vt:lpwstr>
  </property>
</Properties>
</file>