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0933C" w14:textId="77777777" w:rsidR="00C92C05" w:rsidRPr="0031367C" w:rsidRDefault="0031367C" w:rsidP="00B701F6">
      <w:pPr>
        <w:pBdr>
          <w:top w:val="nil"/>
          <w:left w:val="nil"/>
          <w:bottom w:val="nil"/>
          <w:right w:val="nil"/>
          <w:between w:val="nil"/>
        </w:pBdr>
        <w:tabs>
          <w:tab w:val="left" w:pos="360"/>
          <w:tab w:val="left" w:pos="6252"/>
        </w:tabs>
        <w:spacing w:after="120" w:line="360" w:lineRule="auto"/>
        <w:jc w:val="both"/>
        <w:rPr>
          <w:rFonts w:ascii="Arial" w:eastAsia="Arial" w:hAnsi="Arial" w:cs="Arial"/>
          <w:b/>
          <w:color w:val="010000"/>
          <w:sz w:val="20"/>
          <w:szCs w:val="20"/>
        </w:rPr>
      </w:pPr>
      <w:r w:rsidRPr="0031367C">
        <w:rPr>
          <w:rFonts w:ascii="Arial" w:hAnsi="Arial" w:cs="Arial"/>
          <w:b/>
          <w:color w:val="010000"/>
          <w:sz w:val="20"/>
        </w:rPr>
        <w:t>MCF: Board Resolution</w:t>
      </w:r>
    </w:p>
    <w:p w14:paraId="580D5EB4" w14:textId="77777777" w:rsidR="00C92C05" w:rsidRPr="0031367C" w:rsidRDefault="0031367C" w:rsidP="00B701F6">
      <w:pPr>
        <w:pBdr>
          <w:top w:val="nil"/>
          <w:left w:val="nil"/>
          <w:bottom w:val="nil"/>
          <w:right w:val="nil"/>
          <w:between w:val="nil"/>
        </w:pBdr>
        <w:tabs>
          <w:tab w:val="left" w:pos="360"/>
          <w:tab w:val="left" w:pos="6252"/>
        </w:tabs>
        <w:spacing w:after="120" w:line="360" w:lineRule="auto"/>
        <w:jc w:val="both"/>
        <w:rPr>
          <w:rFonts w:ascii="Arial" w:eastAsia="Arial" w:hAnsi="Arial" w:cs="Arial"/>
          <w:color w:val="010000"/>
          <w:sz w:val="20"/>
          <w:szCs w:val="20"/>
        </w:rPr>
      </w:pPr>
      <w:r w:rsidRPr="0031367C">
        <w:rPr>
          <w:rFonts w:ascii="Arial" w:hAnsi="Arial" w:cs="Arial"/>
          <w:color w:val="010000"/>
          <w:sz w:val="20"/>
        </w:rPr>
        <w:t xml:space="preserve">On March 20, 2024, </w:t>
      </w:r>
      <w:proofErr w:type="spellStart"/>
      <w:r w:rsidRPr="0031367C">
        <w:rPr>
          <w:rFonts w:ascii="Arial" w:hAnsi="Arial" w:cs="Arial"/>
          <w:color w:val="010000"/>
          <w:sz w:val="20"/>
        </w:rPr>
        <w:t>Mechannics</w:t>
      </w:r>
      <w:proofErr w:type="spellEnd"/>
      <w:r w:rsidRPr="0031367C">
        <w:rPr>
          <w:rFonts w:ascii="Arial" w:hAnsi="Arial" w:cs="Arial"/>
          <w:color w:val="010000"/>
          <w:sz w:val="20"/>
        </w:rPr>
        <w:t xml:space="preserve"> Construction and Foodstuff JSC announced Resolution No. 07/NQ-MCF-HDQT as follows:</w:t>
      </w:r>
    </w:p>
    <w:p w14:paraId="13F70D9D"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Article 1: Agree to approve the Report on the Company's production and business activities 2023 to submit to the Annual General Meeting of Shareholders 2024 for approval;</w:t>
      </w:r>
    </w:p>
    <w:p w14:paraId="07D1FAEF"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Agree to approve the production a</w:t>
      </w:r>
      <w:bookmarkStart w:id="0" w:name="_GoBack"/>
      <w:bookmarkEnd w:id="0"/>
      <w:r w:rsidRPr="0031367C">
        <w:rPr>
          <w:rFonts w:ascii="Arial" w:hAnsi="Arial" w:cs="Arial"/>
          <w:color w:val="010000"/>
          <w:sz w:val="20"/>
        </w:rPr>
        <w:t>nd business plan 2024 to submit to the Annual General Meeting of Shareholders 2024 for approval with the following main targets:</w:t>
      </w:r>
    </w:p>
    <w:p w14:paraId="1D944D76"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Purchase:</w:t>
      </w:r>
    </w:p>
    <w:p w14:paraId="5D6C68E7" w14:textId="77777777" w:rsidR="00C92C05" w:rsidRPr="0031367C" w:rsidRDefault="0031367C" w:rsidP="00B701F6">
      <w:pPr>
        <w:numPr>
          <w:ilvl w:val="0"/>
          <w:numId w:val="1"/>
        </w:numPr>
        <w:pBdr>
          <w:top w:val="nil"/>
          <w:left w:val="nil"/>
          <w:bottom w:val="nil"/>
          <w:right w:val="nil"/>
          <w:between w:val="nil"/>
        </w:pBdr>
        <w:tabs>
          <w:tab w:val="left" w:pos="360"/>
          <w:tab w:val="left" w:pos="3396"/>
        </w:tabs>
        <w:spacing w:after="120" w:line="360" w:lineRule="auto"/>
        <w:jc w:val="both"/>
        <w:rPr>
          <w:rFonts w:ascii="Arial" w:eastAsia="Arial" w:hAnsi="Arial" w:cs="Arial"/>
          <w:color w:val="010000"/>
          <w:sz w:val="20"/>
          <w:szCs w:val="20"/>
        </w:rPr>
      </w:pPr>
      <w:r w:rsidRPr="0031367C">
        <w:rPr>
          <w:rFonts w:ascii="Arial" w:hAnsi="Arial" w:cs="Arial"/>
          <w:color w:val="010000"/>
          <w:sz w:val="20"/>
        </w:rPr>
        <w:t>Paddy (Convert to rice): 34,000 tons</w:t>
      </w:r>
    </w:p>
    <w:p w14:paraId="2301593C"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Sell:</w:t>
      </w:r>
    </w:p>
    <w:p w14:paraId="05C91B2E" w14:textId="77777777" w:rsidR="00C92C05" w:rsidRPr="0031367C" w:rsidRDefault="0031367C" w:rsidP="00B701F6">
      <w:pPr>
        <w:numPr>
          <w:ilvl w:val="0"/>
          <w:numId w:val="1"/>
        </w:numPr>
        <w:pBdr>
          <w:top w:val="nil"/>
          <w:left w:val="nil"/>
          <w:bottom w:val="nil"/>
          <w:right w:val="nil"/>
          <w:between w:val="nil"/>
        </w:pBdr>
        <w:tabs>
          <w:tab w:val="left" w:pos="360"/>
          <w:tab w:val="left" w:pos="3396"/>
        </w:tabs>
        <w:spacing w:after="120" w:line="360" w:lineRule="auto"/>
        <w:jc w:val="both"/>
        <w:rPr>
          <w:rFonts w:ascii="Arial" w:eastAsia="Arial" w:hAnsi="Arial" w:cs="Arial"/>
          <w:color w:val="010000"/>
          <w:sz w:val="20"/>
          <w:szCs w:val="20"/>
        </w:rPr>
      </w:pPr>
      <w:r w:rsidRPr="0031367C">
        <w:rPr>
          <w:rFonts w:ascii="Arial" w:hAnsi="Arial" w:cs="Arial"/>
          <w:color w:val="010000"/>
          <w:sz w:val="20"/>
        </w:rPr>
        <w:t>Paddy (Convert to rice): 34,000 tons</w:t>
      </w:r>
    </w:p>
    <w:p w14:paraId="0F247906" w14:textId="77777777" w:rsidR="00C92C05" w:rsidRPr="0031367C" w:rsidRDefault="0031367C" w:rsidP="00B701F6">
      <w:pPr>
        <w:numPr>
          <w:ilvl w:val="0"/>
          <w:numId w:val="1"/>
        </w:numPr>
        <w:pBdr>
          <w:top w:val="nil"/>
          <w:left w:val="nil"/>
          <w:bottom w:val="nil"/>
          <w:right w:val="nil"/>
          <w:between w:val="nil"/>
        </w:pBdr>
        <w:tabs>
          <w:tab w:val="left" w:pos="360"/>
          <w:tab w:val="left" w:pos="3396"/>
          <w:tab w:val="left" w:pos="10982"/>
        </w:tabs>
        <w:spacing w:after="120" w:line="360" w:lineRule="auto"/>
        <w:jc w:val="both"/>
        <w:rPr>
          <w:rFonts w:ascii="Arial" w:eastAsia="Arial" w:hAnsi="Arial" w:cs="Arial"/>
          <w:color w:val="010000"/>
          <w:sz w:val="20"/>
          <w:szCs w:val="20"/>
        </w:rPr>
      </w:pPr>
      <w:r w:rsidRPr="0031367C">
        <w:rPr>
          <w:rFonts w:ascii="Arial" w:hAnsi="Arial" w:cs="Arial"/>
          <w:color w:val="010000"/>
          <w:sz w:val="20"/>
        </w:rPr>
        <w:t>Packages: 07 million</w:t>
      </w:r>
    </w:p>
    <w:p w14:paraId="05438F55" w14:textId="3A91A704" w:rsidR="00C92C05" w:rsidRPr="0031367C" w:rsidRDefault="0031367C" w:rsidP="00B701F6">
      <w:pPr>
        <w:numPr>
          <w:ilvl w:val="0"/>
          <w:numId w:val="1"/>
        </w:numPr>
        <w:pBdr>
          <w:top w:val="nil"/>
          <w:left w:val="nil"/>
          <w:bottom w:val="nil"/>
          <w:right w:val="nil"/>
          <w:between w:val="nil"/>
        </w:pBdr>
        <w:tabs>
          <w:tab w:val="left" w:pos="360"/>
          <w:tab w:val="left" w:pos="3396"/>
          <w:tab w:val="left" w:pos="10385"/>
        </w:tabs>
        <w:spacing w:after="120" w:line="360" w:lineRule="auto"/>
        <w:jc w:val="both"/>
        <w:rPr>
          <w:rFonts w:ascii="Arial" w:eastAsia="Arial" w:hAnsi="Arial" w:cs="Arial"/>
          <w:color w:val="010000"/>
          <w:sz w:val="20"/>
          <w:szCs w:val="20"/>
        </w:rPr>
      </w:pPr>
      <w:r w:rsidRPr="0031367C">
        <w:rPr>
          <w:rFonts w:ascii="Arial" w:hAnsi="Arial" w:cs="Arial"/>
          <w:color w:val="010000"/>
          <w:sz w:val="20"/>
        </w:rPr>
        <w:t xml:space="preserve">Craft: 20 containers. </w:t>
      </w:r>
    </w:p>
    <w:p w14:paraId="0BDE738B" w14:textId="77777777" w:rsidR="00C92C05" w:rsidRPr="0031367C" w:rsidRDefault="0031367C" w:rsidP="00B701F6">
      <w:pPr>
        <w:numPr>
          <w:ilvl w:val="0"/>
          <w:numId w:val="1"/>
        </w:numPr>
        <w:pBdr>
          <w:top w:val="nil"/>
          <w:left w:val="nil"/>
          <w:bottom w:val="nil"/>
          <w:right w:val="nil"/>
          <w:between w:val="nil"/>
        </w:pBdr>
        <w:tabs>
          <w:tab w:val="left" w:pos="360"/>
          <w:tab w:val="left" w:pos="3396"/>
        </w:tabs>
        <w:spacing w:after="120" w:line="360" w:lineRule="auto"/>
        <w:jc w:val="both"/>
        <w:rPr>
          <w:rFonts w:ascii="Arial" w:eastAsia="Arial" w:hAnsi="Arial" w:cs="Arial"/>
          <w:color w:val="010000"/>
          <w:sz w:val="20"/>
          <w:szCs w:val="20"/>
        </w:rPr>
      </w:pPr>
      <w:r w:rsidRPr="0031367C">
        <w:rPr>
          <w:rFonts w:ascii="Arial" w:hAnsi="Arial" w:cs="Arial"/>
          <w:color w:val="010000"/>
          <w:sz w:val="20"/>
        </w:rPr>
        <w:t>Revenue from mechanics: VND 25 billion</w:t>
      </w:r>
    </w:p>
    <w:p w14:paraId="70034FCB" w14:textId="77777777" w:rsidR="00C92C05" w:rsidRPr="0031367C" w:rsidRDefault="0031367C" w:rsidP="00B701F6">
      <w:pPr>
        <w:numPr>
          <w:ilvl w:val="0"/>
          <w:numId w:val="1"/>
        </w:numPr>
        <w:pBdr>
          <w:top w:val="nil"/>
          <w:left w:val="nil"/>
          <w:bottom w:val="nil"/>
          <w:right w:val="nil"/>
          <w:between w:val="nil"/>
        </w:pBdr>
        <w:tabs>
          <w:tab w:val="left" w:pos="360"/>
          <w:tab w:val="left" w:pos="3396"/>
        </w:tabs>
        <w:spacing w:after="120" w:line="360" w:lineRule="auto"/>
        <w:jc w:val="both"/>
        <w:rPr>
          <w:rFonts w:ascii="Arial" w:eastAsia="Arial" w:hAnsi="Arial" w:cs="Arial"/>
          <w:color w:val="010000"/>
          <w:sz w:val="20"/>
          <w:szCs w:val="20"/>
        </w:rPr>
      </w:pPr>
      <w:r w:rsidRPr="0031367C">
        <w:rPr>
          <w:rFonts w:ascii="Arial" w:hAnsi="Arial" w:cs="Arial"/>
          <w:color w:val="010000"/>
          <w:sz w:val="20"/>
        </w:rPr>
        <w:t xml:space="preserve">Concrete: 60,000 m3 </w:t>
      </w:r>
    </w:p>
    <w:p w14:paraId="4A1916B5" w14:textId="77777777" w:rsidR="00C92C05" w:rsidRPr="0031367C" w:rsidRDefault="0031367C" w:rsidP="00B701F6">
      <w:pPr>
        <w:numPr>
          <w:ilvl w:val="0"/>
          <w:numId w:val="1"/>
        </w:numPr>
        <w:pBdr>
          <w:top w:val="nil"/>
          <w:left w:val="nil"/>
          <w:bottom w:val="nil"/>
          <w:right w:val="nil"/>
          <w:between w:val="nil"/>
        </w:pBdr>
        <w:tabs>
          <w:tab w:val="left" w:pos="360"/>
          <w:tab w:val="left" w:pos="3392"/>
        </w:tabs>
        <w:spacing w:after="120" w:line="360" w:lineRule="auto"/>
        <w:jc w:val="both"/>
        <w:rPr>
          <w:rFonts w:ascii="Arial" w:eastAsia="Arial" w:hAnsi="Arial" w:cs="Arial"/>
          <w:color w:val="010000"/>
          <w:sz w:val="20"/>
          <w:szCs w:val="20"/>
        </w:rPr>
      </w:pPr>
      <w:r w:rsidRPr="0031367C">
        <w:rPr>
          <w:rFonts w:ascii="Arial" w:hAnsi="Arial" w:cs="Arial"/>
          <w:color w:val="010000"/>
          <w:sz w:val="20"/>
        </w:rPr>
        <w:t>Total investment value: VND 8.58 billion</w:t>
      </w:r>
    </w:p>
    <w:p w14:paraId="3F88F040" w14:textId="77777777" w:rsidR="00C92C05" w:rsidRPr="0031367C" w:rsidRDefault="0031367C" w:rsidP="00B701F6">
      <w:pPr>
        <w:numPr>
          <w:ilvl w:val="0"/>
          <w:numId w:val="1"/>
        </w:numPr>
        <w:pBdr>
          <w:top w:val="nil"/>
          <w:left w:val="nil"/>
          <w:bottom w:val="nil"/>
          <w:right w:val="nil"/>
          <w:between w:val="nil"/>
        </w:pBdr>
        <w:tabs>
          <w:tab w:val="left" w:pos="360"/>
          <w:tab w:val="left" w:pos="3399"/>
        </w:tabs>
        <w:spacing w:after="120" w:line="360" w:lineRule="auto"/>
        <w:jc w:val="both"/>
        <w:rPr>
          <w:rFonts w:ascii="Arial" w:eastAsia="Arial" w:hAnsi="Arial" w:cs="Arial"/>
          <w:color w:val="010000"/>
          <w:sz w:val="20"/>
          <w:szCs w:val="20"/>
        </w:rPr>
      </w:pPr>
      <w:r w:rsidRPr="0031367C">
        <w:rPr>
          <w:rFonts w:ascii="Arial" w:hAnsi="Arial" w:cs="Arial"/>
          <w:color w:val="010000"/>
          <w:sz w:val="20"/>
        </w:rPr>
        <w:t xml:space="preserve">Total revenue: VND 572,529,000,000 </w:t>
      </w:r>
    </w:p>
    <w:p w14:paraId="0375A092" w14:textId="77777777" w:rsidR="00C92C05" w:rsidRPr="0031367C" w:rsidRDefault="0031367C" w:rsidP="00B701F6">
      <w:pPr>
        <w:numPr>
          <w:ilvl w:val="0"/>
          <w:numId w:val="1"/>
        </w:numPr>
        <w:pBdr>
          <w:top w:val="nil"/>
          <w:left w:val="nil"/>
          <w:bottom w:val="nil"/>
          <w:right w:val="nil"/>
          <w:between w:val="nil"/>
        </w:pBdr>
        <w:tabs>
          <w:tab w:val="left" w:pos="360"/>
          <w:tab w:val="left" w:pos="3396"/>
        </w:tabs>
        <w:spacing w:after="120" w:line="360" w:lineRule="auto"/>
        <w:jc w:val="both"/>
        <w:rPr>
          <w:rFonts w:ascii="Arial" w:eastAsia="Arial" w:hAnsi="Arial" w:cs="Arial"/>
          <w:color w:val="010000"/>
          <w:sz w:val="20"/>
          <w:szCs w:val="20"/>
        </w:rPr>
      </w:pPr>
      <w:r w:rsidRPr="0031367C">
        <w:rPr>
          <w:rFonts w:ascii="Arial" w:hAnsi="Arial" w:cs="Arial"/>
          <w:color w:val="010000"/>
          <w:sz w:val="20"/>
        </w:rPr>
        <w:t>Profit before tax: VND 14,000,000,000</w:t>
      </w:r>
    </w:p>
    <w:p w14:paraId="045A1DB4"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Article 2: Agree to approve the Financial Statements 2023 audited by CPA Vietnam Auditing Company Limited and appraised by the Company's Supervisory Board to submit to the Annual General Meeting of Shareholders 2024 for approval with the following main targets:</w:t>
      </w:r>
    </w:p>
    <w:p w14:paraId="103227A2" w14:textId="77777777" w:rsidR="00C92C05" w:rsidRPr="0031367C" w:rsidRDefault="0031367C" w:rsidP="00B701F6">
      <w:pPr>
        <w:numPr>
          <w:ilvl w:val="0"/>
          <w:numId w:val="1"/>
        </w:numPr>
        <w:pBdr>
          <w:top w:val="nil"/>
          <w:left w:val="nil"/>
          <w:bottom w:val="nil"/>
          <w:right w:val="nil"/>
          <w:between w:val="nil"/>
        </w:pBdr>
        <w:tabs>
          <w:tab w:val="left" w:pos="360"/>
          <w:tab w:val="left" w:pos="3396"/>
        </w:tabs>
        <w:spacing w:after="120" w:line="360" w:lineRule="auto"/>
        <w:jc w:val="both"/>
        <w:rPr>
          <w:rFonts w:ascii="Arial" w:eastAsia="Arial" w:hAnsi="Arial" w:cs="Arial"/>
          <w:color w:val="010000"/>
          <w:sz w:val="20"/>
          <w:szCs w:val="20"/>
        </w:rPr>
      </w:pPr>
      <w:r w:rsidRPr="0031367C">
        <w:rPr>
          <w:rFonts w:ascii="Arial" w:hAnsi="Arial" w:cs="Arial"/>
          <w:color w:val="010000"/>
          <w:sz w:val="20"/>
        </w:rPr>
        <w:t>Total revenue: VND 446,452,863,082</w:t>
      </w:r>
    </w:p>
    <w:p w14:paraId="6F272FE4" w14:textId="77777777" w:rsidR="00C92C05" w:rsidRPr="0031367C" w:rsidRDefault="0031367C" w:rsidP="00B701F6">
      <w:pPr>
        <w:numPr>
          <w:ilvl w:val="0"/>
          <w:numId w:val="1"/>
        </w:numPr>
        <w:pBdr>
          <w:top w:val="nil"/>
          <w:left w:val="nil"/>
          <w:bottom w:val="nil"/>
          <w:right w:val="nil"/>
          <w:between w:val="nil"/>
        </w:pBdr>
        <w:tabs>
          <w:tab w:val="left" w:pos="360"/>
          <w:tab w:val="left" w:pos="3396"/>
        </w:tabs>
        <w:spacing w:after="120" w:line="360" w:lineRule="auto"/>
        <w:jc w:val="both"/>
        <w:rPr>
          <w:rFonts w:ascii="Arial" w:eastAsia="Arial" w:hAnsi="Arial" w:cs="Arial"/>
          <w:color w:val="010000"/>
          <w:sz w:val="20"/>
          <w:szCs w:val="20"/>
        </w:rPr>
      </w:pPr>
      <w:r w:rsidRPr="0031367C">
        <w:rPr>
          <w:rFonts w:ascii="Arial" w:hAnsi="Arial" w:cs="Arial"/>
          <w:color w:val="010000"/>
          <w:sz w:val="20"/>
        </w:rPr>
        <w:t>Profit before tax: VND 13,900,916,734</w:t>
      </w:r>
    </w:p>
    <w:p w14:paraId="3C94327C"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 xml:space="preserve">Article 3: Agree to approve the policy of investing in cars to serve work at </w:t>
      </w:r>
      <w:proofErr w:type="spellStart"/>
      <w:r w:rsidRPr="0031367C">
        <w:rPr>
          <w:rFonts w:ascii="Arial" w:hAnsi="Arial" w:cs="Arial"/>
          <w:color w:val="010000"/>
          <w:sz w:val="20"/>
        </w:rPr>
        <w:t>Mechannics</w:t>
      </w:r>
      <w:proofErr w:type="spellEnd"/>
      <w:r w:rsidRPr="0031367C">
        <w:rPr>
          <w:rFonts w:ascii="Arial" w:hAnsi="Arial" w:cs="Arial"/>
          <w:color w:val="010000"/>
          <w:sz w:val="20"/>
        </w:rPr>
        <w:t xml:space="preserve"> Construction and Foodstuff JSC with the following content: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8"/>
        <w:gridCol w:w="2256"/>
        <w:gridCol w:w="1158"/>
        <w:gridCol w:w="1463"/>
        <w:gridCol w:w="1886"/>
        <w:gridCol w:w="1616"/>
      </w:tblGrid>
      <w:tr w:rsidR="00C92C05" w:rsidRPr="0031367C" w14:paraId="0B267A64" w14:textId="77777777" w:rsidTr="0031367C">
        <w:tc>
          <w:tcPr>
            <w:tcW w:w="354" w:type="pct"/>
            <w:shd w:val="clear" w:color="auto" w:fill="auto"/>
            <w:tcMar>
              <w:top w:w="0" w:type="dxa"/>
              <w:bottom w:w="0" w:type="dxa"/>
            </w:tcMar>
            <w:vAlign w:val="center"/>
          </w:tcPr>
          <w:p w14:paraId="1C61A2B4"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No.</w:t>
            </w:r>
          </w:p>
        </w:tc>
        <w:tc>
          <w:tcPr>
            <w:tcW w:w="1251" w:type="pct"/>
            <w:shd w:val="clear" w:color="auto" w:fill="auto"/>
            <w:tcMar>
              <w:top w:w="0" w:type="dxa"/>
              <w:bottom w:w="0" w:type="dxa"/>
            </w:tcMar>
            <w:vAlign w:val="center"/>
          </w:tcPr>
          <w:p w14:paraId="68AB9D31"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Investment item</w:t>
            </w:r>
          </w:p>
        </w:tc>
        <w:tc>
          <w:tcPr>
            <w:tcW w:w="642" w:type="pct"/>
            <w:shd w:val="clear" w:color="auto" w:fill="auto"/>
            <w:tcMar>
              <w:top w:w="0" w:type="dxa"/>
              <w:bottom w:w="0" w:type="dxa"/>
            </w:tcMar>
            <w:vAlign w:val="center"/>
          </w:tcPr>
          <w:p w14:paraId="1ABA5DC9"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Quantity</w:t>
            </w:r>
          </w:p>
        </w:tc>
        <w:tc>
          <w:tcPr>
            <w:tcW w:w="811" w:type="pct"/>
            <w:shd w:val="clear" w:color="auto" w:fill="auto"/>
            <w:tcMar>
              <w:top w:w="0" w:type="dxa"/>
              <w:bottom w:w="0" w:type="dxa"/>
            </w:tcMar>
            <w:vAlign w:val="center"/>
          </w:tcPr>
          <w:p w14:paraId="7AAC9A98"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Origin</w:t>
            </w:r>
          </w:p>
        </w:tc>
        <w:tc>
          <w:tcPr>
            <w:tcW w:w="1046" w:type="pct"/>
            <w:shd w:val="clear" w:color="auto" w:fill="auto"/>
            <w:tcMar>
              <w:top w:w="0" w:type="dxa"/>
              <w:bottom w:w="0" w:type="dxa"/>
            </w:tcMar>
            <w:vAlign w:val="center"/>
          </w:tcPr>
          <w:p w14:paraId="4AB3AA5C"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Value</w:t>
            </w:r>
          </w:p>
        </w:tc>
        <w:tc>
          <w:tcPr>
            <w:tcW w:w="896" w:type="pct"/>
            <w:shd w:val="clear" w:color="auto" w:fill="auto"/>
            <w:tcMar>
              <w:top w:w="0" w:type="dxa"/>
              <w:bottom w:w="0" w:type="dxa"/>
            </w:tcMar>
            <w:vAlign w:val="center"/>
          </w:tcPr>
          <w:p w14:paraId="699B700C"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Note</w:t>
            </w:r>
          </w:p>
        </w:tc>
      </w:tr>
      <w:tr w:rsidR="00C92C05" w:rsidRPr="0031367C" w14:paraId="7BC23E72" w14:textId="77777777" w:rsidTr="0031367C">
        <w:tc>
          <w:tcPr>
            <w:tcW w:w="354" w:type="pct"/>
            <w:shd w:val="clear" w:color="auto" w:fill="auto"/>
            <w:tcMar>
              <w:top w:w="0" w:type="dxa"/>
              <w:bottom w:w="0" w:type="dxa"/>
            </w:tcMar>
            <w:vAlign w:val="center"/>
          </w:tcPr>
          <w:p w14:paraId="5E3215BC"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1</w:t>
            </w:r>
          </w:p>
        </w:tc>
        <w:tc>
          <w:tcPr>
            <w:tcW w:w="1251" w:type="pct"/>
            <w:shd w:val="clear" w:color="auto" w:fill="auto"/>
            <w:tcMar>
              <w:top w:w="0" w:type="dxa"/>
              <w:bottom w:w="0" w:type="dxa"/>
            </w:tcMar>
            <w:vAlign w:val="center"/>
          </w:tcPr>
          <w:p w14:paraId="4278AB1B"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INNOVA 7 seater car</w:t>
            </w:r>
          </w:p>
        </w:tc>
        <w:tc>
          <w:tcPr>
            <w:tcW w:w="642" w:type="pct"/>
            <w:shd w:val="clear" w:color="auto" w:fill="auto"/>
            <w:tcMar>
              <w:top w:w="0" w:type="dxa"/>
              <w:bottom w:w="0" w:type="dxa"/>
            </w:tcMar>
            <w:vAlign w:val="center"/>
          </w:tcPr>
          <w:p w14:paraId="2A491489"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01</w:t>
            </w:r>
          </w:p>
        </w:tc>
        <w:tc>
          <w:tcPr>
            <w:tcW w:w="811" w:type="pct"/>
            <w:shd w:val="clear" w:color="auto" w:fill="auto"/>
            <w:tcMar>
              <w:top w:w="0" w:type="dxa"/>
              <w:bottom w:w="0" w:type="dxa"/>
            </w:tcMar>
            <w:vAlign w:val="center"/>
          </w:tcPr>
          <w:p w14:paraId="50A58A8F"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Japan</w:t>
            </w:r>
          </w:p>
        </w:tc>
        <w:tc>
          <w:tcPr>
            <w:tcW w:w="1046" w:type="pct"/>
            <w:shd w:val="clear" w:color="auto" w:fill="auto"/>
            <w:tcMar>
              <w:top w:w="0" w:type="dxa"/>
              <w:bottom w:w="0" w:type="dxa"/>
            </w:tcMar>
            <w:vAlign w:val="center"/>
          </w:tcPr>
          <w:p w14:paraId="79C17207"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820,000,000</w:t>
            </w:r>
          </w:p>
        </w:tc>
        <w:tc>
          <w:tcPr>
            <w:tcW w:w="896" w:type="pct"/>
            <w:shd w:val="clear" w:color="auto" w:fill="auto"/>
            <w:tcMar>
              <w:top w:w="0" w:type="dxa"/>
              <w:bottom w:w="0" w:type="dxa"/>
            </w:tcMar>
            <w:vAlign w:val="center"/>
          </w:tcPr>
          <w:p w14:paraId="0D406DD5"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New</w:t>
            </w:r>
          </w:p>
        </w:tc>
      </w:tr>
      <w:tr w:rsidR="00C92C05" w:rsidRPr="0031367C" w14:paraId="3D11B84F" w14:textId="77777777" w:rsidTr="0031367C">
        <w:tc>
          <w:tcPr>
            <w:tcW w:w="354" w:type="pct"/>
            <w:shd w:val="clear" w:color="auto" w:fill="auto"/>
            <w:tcMar>
              <w:top w:w="0" w:type="dxa"/>
              <w:bottom w:w="0" w:type="dxa"/>
            </w:tcMar>
            <w:vAlign w:val="center"/>
          </w:tcPr>
          <w:p w14:paraId="65E292D9" w14:textId="77777777" w:rsidR="00C92C05" w:rsidRPr="0031367C" w:rsidRDefault="00C92C05" w:rsidP="00B701F6">
            <w:pPr>
              <w:tabs>
                <w:tab w:val="left" w:pos="360"/>
              </w:tabs>
              <w:spacing w:after="120" w:line="360" w:lineRule="auto"/>
              <w:jc w:val="both"/>
              <w:rPr>
                <w:rFonts w:ascii="Arial" w:eastAsia="Arial" w:hAnsi="Arial" w:cs="Arial"/>
                <w:color w:val="010000"/>
                <w:sz w:val="20"/>
                <w:szCs w:val="20"/>
              </w:rPr>
            </w:pPr>
          </w:p>
        </w:tc>
        <w:tc>
          <w:tcPr>
            <w:tcW w:w="1251" w:type="pct"/>
            <w:shd w:val="clear" w:color="auto" w:fill="auto"/>
            <w:tcMar>
              <w:top w:w="0" w:type="dxa"/>
              <w:bottom w:w="0" w:type="dxa"/>
            </w:tcMar>
            <w:vAlign w:val="center"/>
          </w:tcPr>
          <w:p w14:paraId="40287D5A"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Total</w:t>
            </w:r>
          </w:p>
        </w:tc>
        <w:tc>
          <w:tcPr>
            <w:tcW w:w="642" w:type="pct"/>
            <w:shd w:val="clear" w:color="auto" w:fill="auto"/>
            <w:tcMar>
              <w:top w:w="0" w:type="dxa"/>
              <w:bottom w:w="0" w:type="dxa"/>
            </w:tcMar>
            <w:vAlign w:val="center"/>
          </w:tcPr>
          <w:p w14:paraId="6C5DBC76" w14:textId="77777777" w:rsidR="00C92C05" w:rsidRPr="0031367C" w:rsidRDefault="00C92C05" w:rsidP="00B701F6">
            <w:pPr>
              <w:tabs>
                <w:tab w:val="left" w:pos="360"/>
              </w:tabs>
              <w:spacing w:after="120" w:line="360" w:lineRule="auto"/>
              <w:jc w:val="both"/>
              <w:rPr>
                <w:rFonts w:ascii="Arial" w:eastAsia="Arial" w:hAnsi="Arial" w:cs="Arial"/>
                <w:color w:val="010000"/>
                <w:sz w:val="20"/>
                <w:szCs w:val="20"/>
              </w:rPr>
            </w:pPr>
          </w:p>
        </w:tc>
        <w:tc>
          <w:tcPr>
            <w:tcW w:w="811" w:type="pct"/>
            <w:shd w:val="clear" w:color="auto" w:fill="auto"/>
            <w:tcMar>
              <w:top w:w="0" w:type="dxa"/>
              <w:bottom w:w="0" w:type="dxa"/>
            </w:tcMar>
            <w:vAlign w:val="center"/>
          </w:tcPr>
          <w:p w14:paraId="6313E1BE" w14:textId="77777777" w:rsidR="00C92C05" w:rsidRPr="0031367C" w:rsidRDefault="00C92C05" w:rsidP="00B701F6">
            <w:pPr>
              <w:tabs>
                <w:tab w:val="left" w:pos="360"/>
              </w:tabs>
              <w:spacing w:after="120" w:line="360" w:lineRule="auto"/>
              <w:jc w:val="both"/>
              <w:rPr>
                <w:rFonts w:ascii="Arial" w:eastAsia="Arial" w:hAnsi="Arial" w:cs="Arial"/>
                <w:color w:val="010000"/>
                <w:sz w:val="20"/>
                <w:szCs w:val="20"/>
              </w:rPr>
            </w:pPr>
          </w:p>
        </w:tc>
        <w:tc>
          <w:tcPr>
            <w:tcW w:w="1046" w:type="pct"/>
            <w:shd w:val="clear" w:color="auto" w:fill="auto"/>
            <w:tcMar>
              <w:top w:w="0" w:type="dxa"/>
              <w:bottom w:w="0" w:type="dxa"/>
            </w:tcMar>
            <w:vAlign w:val="center"/>
          </w:tcPr>
          <w:p w14:paraId="0CC81F00"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820,000,000</w:t>
            </w:r>
          </w:p>
        </w:tc>
        <w:tc>
          <w:tcPr>
            <w:tcW w:w="896" w:type="pct"/>
            <w:shd w:val="clear" w:color="auto" w:fill="auto"/>
            <w:tcMar>
              <w:top w:w="0" w:type="dxa"/>
              <w:bottom w:w="0" w:type="dxa"/>
            </w:tcMar>
            <w:vAlign w:val="center"/>
          </w:tcPr>
          <w:p w14:paraId="745A08D5" w14:textId="77777777" w:rsidR="00C92C05" w:rsidRPr="0031367C" w:rsidRDefault="00C92C05" w:rsidP="00B701F6">
            <w:pPr>
              <w:tabs>
                <w:tab w:val="left" w:pos="360"/>
              </w:tabs>
              <w:spacing w:after="120" w:line="360" w:lineRule="auto"/>
              <w:jc w:val="both"/>
              <w:rPr>
                <w:rFonts w:ascii="Arial" w:eastAsia="Arial" w:hAnsi="Arial" w:cs="Arial"/>
                <w:color w:val="010000"/>
                <w:sz w:val="20"/>
                <w:szCs w:val="20"/>
              </w:rPr>
            </w:pPr>
          </w:p>
        </w:tc>
      </w:tr>
    </w:tbl>
    <w:p w14:paraId="6BD87BF3"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Assign the Executive Board to organize bidding to select suppliers in accordance with the provisions of law.</w:t>
      </w:r>
    </w:p>
    <w:p w14:paraId="6B17FD87"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 xml:space="preserve">Article 4: Approve the information disclosure regulations of </w:t>
      </w:r>
      <w:proofErr w:type="spellStart"/>
      <w:r w:rsidRPr="0031367C">
        <w:rPr>
          <w:rFonts w:ascii="Arial" w:hAnsi="Arial" w:cs="Arial"/>
          <w:color w:val="010000"/>
          <w:sz w:val="20"/>
        </w:rPr>
        <w:t>Mechannics</w:t>
      </w:r>
      <w:proofErr w:type="spellEnd"/>
      <w:r w:rsidRPr="0031367C">
        <w:rPr>
          <w:rFonts w:ascii="Arial" w:hAnsi="Arial" w:cs="Arial"/>
          <w:color w:val="010000"/>
          <w:sz w:val="20"/>
        </w:rPr>
        <w:t xml:space="preserve"> Construction and Foodstuff JSC. </w:t>
      </w:r>
    </w:p>
    <w:p w14:paraId="126625BF"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lastRenderedPageBreak/>
        <w:t>Article 5: This Resolution takes effect from the date of its signing.</w:t>
      </w:r>
    </w:p>
    <w:p w14:paraId="73C2D40B" w14:textId="77777777" w:rsidR="00C92C05" w:rsidRPr="0031367C" w:rsidRDefault="0031367C" w:rsidP="00B701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1367C">
        <w:rPr>
          <w:rFonts w:ascii="Arial" w:hAnsi="Arial" w:cs="Arial"/>
          <w:color w:val="010000"/>
          <w:sz w:val="20"/>
        </w:rPr>
        <w:t>Members of the Board of Directors, the Supervisory Board, the Board of Management, the Chief Accountant of the Company and Heads of relevant departments shall implement this Resolution based on the functions, tasks and powers.</w:t>
      </w:r>
    </w:p>
    <w:sectPr w:rsidR="00C92C05" w:rsidRPr="0031367C" w:rsidSect="0031367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F2CDE"/>
    <w:multiLevelType w:val="multilevel"/>
    <w:tmpl w:val="028870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05"/>
    <w:rsid w:val="0031367C"/>
    <w:rsid w:val="00B701F6"/>
    <w:rsid w:val="00C92C0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6D6EE"/>
  <w15:docId w15:val="{B46731F6-C024-4386-924F-F6C388B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6"/>
      <w:szCs w:val="36"/>
      <w:u w:val="none"/>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4E3F22"/>
      <w:sz w:val="15"/>
      <w:szCs w:val="15"/>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2"/>
      <w:szCs w:val="3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rPr>
  </w:style>
  <w:style w:type="character" w:customStyle="1" w:styleId="Heading40">
    <w:name w:val="Heading #4_"/>
    <w:basedOn w:val="DefaultParagraphFont"/>
    <w:link w:val="Heading41"/>
    <w:rPr>
      <w:rFonts w:ascii="Times New Roman" w:eastAsia="Times New Roman" w:hAnsi="Times New Roman" w:cs="Times New Roman"/>
      <w:b/>
      <w:bCs/>
      <w:i/>
      <w:iCs/>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B10B13"/>
      <w:sz w:val="40"/>
      <w:szCs w:val="40"/>
      <w:u w:val="none"/>
    </w:rPr>
  </w:style>
  <w:style w:type="paragraph" w:customStyle="1" w:styleId="Bodytext30">
    <w:name w:val="Body text (3)"/>
    <w:basedOn w:val="Normal"/>
    <w:link w:val="Bodytext3"/>
    <w:pPr>
      <w:ind w:left="1180" w:firstLine="680"/>
    </w:pPr>
    <w:rPr>
      <w:rFonts w:ascii="Times New Roman" w:eastAsia="Times New Roman" w:hAnsi="Times New Roman" w:cs="Times New Roman"/>
      <w:sz w:val="28"/>
      <w:szCs w:val="28"/>
    </w:rPr>
  </w:style>
  <w:style w:type="paragraph" w:customStyle="1" w:styleId="Bodytext40">
    <w:name w:val="Body text (4)"/>
    <w:basedOn w:val="Normal"/>
    <w:link w:val="Bodytext4"/>
    <w:rPr>
      <w:rFonts w:ascii="Times New Roman" w:eastAsia="Times New Roman" w:hAnsi="Times New Roman" w:cs="Times New Roman"/>
      <w:b/>
      <w:bCs/>
      <w:sz w:val="20"/>
      <w:szCs w:val="20"/>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21">
    <w:name w:val="Heading #2"/>
    <w:basedOn w:val="Normal"/>
    <w:link w:val="Heading20"/>
    <w:pPr>
      <w:spacing w:line="312" w:lineRule="auto"/>
      <w:jc w:val="center"/>
      <w:outlineLvl w:val="1"/>
    </w:pPr>
    <w:rPr>
      <w:rFonts w:ascii="Times New Roman" w:eastAsia="Times New Roman" w:hAnsi="Times New Roman" w:cs="Times New Roman"/>
      <w:b/>
      <w:bCs/>
      <w:sz w:val="36"/>
      <w:szCs w:val="36"/>
    </w:rPr>
  </w:style>
  <w:style w:type="paragraph" w:customStyle="1" w:styleId="Heading51">
    <w:name w:val="Heading #5"/>
    <w:basedOn w:val="Normal"/>
    <w:link w:val="Heading50"/>
    <w:pPr>
      <w:spacing w:line="288" w:lineRule="auto"/>
      <w:ind w:firstLine="450"/>
      <w:outlineLvl w:val="4"/>
    </w:pPr>
    <w:rPr>
      <w:rFonts w:ascii="Times New Roman" w:eastAsia="Times New Roman" w:hAnsi="Times New Roman" w:cs="Times New Roman"/>
      <w:b/>
      <w:bCs/>
      <w:sz w:val="26"/>
      <w:szCs w:val="26"/>
    </w:rPr>
  </w:style>
  <w:style w:type="paragraph" w:styleId="BodyText">
    <w:name w:val="Body Text"/>
    <w:basedOn w:val="Normal"/>
    <w:link w:val="BodyTextChar"/>
    <w:pPr>
      <w:spacing w:line="288" w:lineRule="auto"/>
    </w:pPr>
    <w:rPr>
      <w:rFonts w:ascii="Times New Roman" w:eastAsia="Times New Roman" w:hAnsi="Times New Roman" w:cs="Times New Roman"/>
      <w:sz w:val="28"/>
      <w:szCs w:val="28"/>
    </w:rPr>
  </w:style>
  <w:style w:type="paragraph" w:customStyle="1" w:styleId="Bodytext50">
    <w:name w:val="Body text (5)"/>
    <w:basedOn w:val="Normal"/>
    <w:link w:val="Bodytext5"/>
    <w:pPr>
      <w:ind w:left="10420"/>
    </w:pPr>
    <w:rPr>
      <w:rFonts w:ascii="Arial" w:eastAsia="Arial" w:hAnsi="Arial" w:cs="Arial"/>
      <w:color w:val="4E3F22"/>
      <w:sz w:val="15"/>
      <w:szCs w:val="15"/>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2"/>
      <w:szCs w:val="32"/>
    </w:rPr>
  </w:style>
  <w:style w:type="paragraph" w:customStyle="1" w:styleId="Tableofcontents0">
    <w:name w:val="Table of contents"/>
    <w:basedOn w:val="Normal"/>
    <w:link w:val="Tableofcontents"/>
    <w:pPr>
      <w:ind w:firstLine="680"/>
    </w:pPr>
    <w:rPr>
      <w:rFonts w:ascii="Times New Roman" w:eastAsia="Times New Roman" w:hAnsi="Times New Roman" w:cs="Times New Roman"/>
    </w:rPr>
  </w:style>
  <w:style w:type="paragraph" w:customStyle="1" w:styleId="Bodytext20">
    <w:name w:val="Body text (2)"/>
    <w:basedOn w:val="Normal"/>
    <w:link w:val="Bodytext2"/>
    <w:pPr>
      <w:spacing w:line="360" w:lineRule="auto"/>
      <w:ind w:left="420" w:hanging="32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Heading41">
    <w:name w:val="Heading #4"/>
    <w:basedOn w:val="Normal"/>
    <w:link w:val="Heading40"/>
    <w:pPr>
      <w:spacing w:line="266" w:lineRule="auto"/>
      <w:ind w:firstLine="850"/>
      <w:outlineLvl w:val="3"/>
    </w:pPr>
    <w:rPr>
      <w:rFonts w:ascii="Times New Roman" w:eastAsia="Times New Roman" w:hAnsi="Times New Roman" w:cs="Times New Roman"/>
      <w:b/>
      <w:bCs/>
      <w:i/>
      <w:i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i/>
      <w:iCs/>
      <w:color w:val="B10B13"/>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zVKs9zmgut0xMd2PoPlmV164g==">CgMxLjA4AHIhMVVWazdqdzRaa3ZaQ0pRYmdrZHZzZlhrYnAxcXlLQUxD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2024-03-22T03:43:00Z</dcterms:created>
  <dcterms:modified xsi:type="dcterms:W3CDTF">2024-03-25T03:13:00Z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981cc8b1b7dbe70e94acf5a3007af77978df5f2a7376bdcad783b9003ecebd61</vt:lpwstr>
  </property>
</Properties>
</file>