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B66D" w14:textId="77777777" w:rsidR="005E0B67" w:rsidRPr="004E72C4" w:rsidRDefault="005E0B67" w:rsidP="00A71FFD">
      <w:pPr>
        <w:pStyle w:val="Vnbnnidung0"/>
        <w:tabs>
          <w:tab w:val="left" w:pos="432"/>
        </w:tabs>
        <w:spacing w:after="120" w:line="360" w:lineRule="auto"/>
        <w:ind w:firstLine="0"/>
        <w:rPr>
          <w:rFonts w:ascii="Arial" w:hAnsi="Arial" w:cs="Arial"/>
          <w:b/>
          <w:bCs/>
          <w:color w:val="010000"/>
          <w:sz w:val="20"/>
        </w:rPr>
      </w:pPr>
      <w:bookmarkStart w:id="0" w:name="_GoBack"/>
      <w:bookmarkEnd w:id="0"/>
      <w:r w:rsidRPr="004E72C4">
        <w:rPr>
          <w:rFonts w:ascii="Arial" w:hAnsi="Arial" w:cs="Arial"/>
          <w:b/>
          <w:color w:val="010000"/>
          <w:sz w:val="20"/>
        </w:rPr>
        <w:t>PVX: Board Resolution</w:t>
      </w:r>
    </w:p>
    <w:p w14:paraId="509865A7" w14:textId="06E77AD4" w:rsidR="005E0B67" w:rsidRPr="004E72C4" w:rsidRDefault="005E0B67" w:rsidP="00A71FFD">
      <w:pPr>
        <w:pStyle w:val="Vnbnnidung0"/>
        <w:tabs>
          <w:tab w:val="left" w:pos="432"/>
        </w:tabs>
        <w:spacing w:after="120" w:line="360" w:lineRule="auto"/>
        <w:ind w:firstLine="0"/>
        <w:rPr>
          <w:rFonts w:ascii="Arial" w:hAnsi="Arial" w:cs="Arial"/>
          <w:bCs/>
          <w:color w:val="010000"/>
          <w:sz w:val="20"/>
        </w:rPr>
      </w:pPr>
      <w:r w:rsidRPr="004E72C4">
        <w:rPr>
          <w:rFonts w:ascii="Arial" w:hAnsi="Arial" w:cs="Arial"/>
          <w:color w:val="010000"/>
          <w:sz w:val="20"/>
        </w:rPr>
        <w:t>On March 20, 2024, Petro Vietnam Construction Joint Stock Corporation announced Resolution No. 19/NQ-XLDK on approving the organizational plan and content of the Annual General Meeting of Shareholders 2024 of Petro Vietnam Construction Joint Stock Corporation as follows:</w:t>
      </w:r>
    </w:p>
    <w:p w14:paraId="6E975176" w14:textId="6BC3C639" w:rsidR="00837901" w:rsidRPr="004E72C4" w:rsidRDefault="00F45CF9" w:rsidP="00A71FFD">
      <w:pPr>
        <w:pStyle w:val="Vnbnnidung0"/>
        <w:tabs>
          <w:tab w:val="left" w:pos="432"/>
        </w:tabs>
        <w:spacing w:after="120" w:line="360" w:lineRule="auto"/>
        <w:ind w:firstLine="0"/>
        <w:rPr>
          <w:rFonts w:ascii="Arial" w:hAnsi="Arial" w:cs="Arial"/>
          <w:color w:val="010000"/>
          <w:sz w:val="20"/>
        </w:rPr>
      </w:pPr>
      <w:r w:rsidRPr="004E72C4">
        <w:rPr>
          <w:rFonts w:ascii="Arial" w:hAnsi="Arial" w:cs="Arial"/>
          <w:color w:val="010000"/>
          <w:sz w:val="20"/>
        </w:rPr>
        <w:t>‎‎Article 1. Approve the organization plan and content of the Annual General Meeting of Shareholders 2024 of Petro Vietnam Construction Joint Stock Corporation (hereinafter referred to as the General Meeting), specifically as follows:</w:t>
      </w:r>
    </w:p>
    <w:p w14:paraId="6E975177" w14:textId="77777777" w:rsidR="00837901" w:rsidRPr="004E72C4" w:rsidRDefault="00F45CF9" w:rsidP="00A71FFD">
      <w:pPr>
        <w:pStyle w:val="Vnbnnidung0"/>
        <w:numPr>
          <w:ilvl w:val="0"/>
          <w:numId w:val="1"/>
        </w:numPr>
        <w:tabs>
          <w:tab w:val="left" w:pos="432"/>
          <w:tab w:val="left" w:pos="819"/>
        </w:tabs>
        <w:spacing w:after="120" w:line="360" w:lineRule="auto"/>
        <w:ind w:firstLine="0"/>
        <w:rPr>
          <w:rFonts w:ascii="Arial" w:hAnsi="Arial" w:cs="Arial"/>
          <w:color w:val="010000"/>
          <w:sz w:val="20"/>
        </w:rPr>
      </w:pPr>
      <w:r w:rsidRPr="004E72C4">
        <w:rPr>
          <w:rFonts w:ascii="Arial" w:hAnsi="Arial" w:cs="Arial"/>
          <w:color w:val="010000"/>
          <w:sz w:val="20"/>
        </w:rPr>
        <w:t>Time and venue for the Meeting:</w:t>
      </w:r>
    </w:p>
    <w:p w14:paraId="6E975178" w14:textId="77777777" w:rsidR="00837901" w:rsidRPr="004E72C4" w:rsidRDefault="00F45CF9" w:rsidP="00A71FFD">
      <w:pPr>
        <w:pStyle w:val="Vnbnnidung0"/>
        <w:numPr>
          <w:ilvl w:val="0"/>
          <w:numId w:val="2"/>
        </w:numPr>
        <w:tabs>
          <w:tab w:val="left" w:pos="432"/>
          <w:tab w:val="left" w:pos="805"/>
        </w:tabs>
        <w:spacing w:after="120" w:line="360" w:lineRule="auto"/>
        <w:ind w:firstLine="0"/>
        <w:rPr>
          <w:rFonts w:ascii="Arial" w:hAnsi="Arial" w:cs="Arial"/>
          <w:color w:val="010000"/>
          <w:sz w:val="20"/>
        </w:rPr>
      </w:pPr>
      <w:r w:rsidRPr="004E72C4">
        <w:rPr>
          <w:rFonts w:ascii="Arial" w:hAnsi="Arial" w:cs="Arial"/>
          <w:color w:val="010000"/>
          <w:sz w:val="20"/>
        </w:rPr>
        <w:t>Meeting date: May 23, 2024 (expected)</w:t>
      </w:r>
    </w:p>
    <w:p w14:paraId="6E975179" w14:textId="77777777" w:rsidR="00837901" w:rsidRPr="004E72C4" w:rsidRDefault="00F45CF9" w:rsidP="00A71FFD">
      <w:pPr>
        <w:pStyle w:val="Vnbnnidung0"/>
        <w:numPr>
          <w:ilvl w:val="0"/>
          <w:numId w:val="2"/>
        </w:numPr>
        <w:tabs>
          <w:tab w:val="left" w:pos="432"/>
          <w:tab w:val="left" w:pos="805"/>
        </w:tabs>
        <w:spacing w:after="120" w:line="360" w:lineRule="auto"/>
        <w:ind w:firstLine="0"/>
        <w:rPr>
          <w:rFonts w:ascii="Arial" w:hAnsi="Arial" w:cs="Arial"/>
          <w:color w:val="010000"/>
          <w:sz w:val="20"/>
        </w:rPr>
      </w:pPr>
      <w:r w:rsidRPr="004E72C4">
        <w:rPr>
          <w:rFonts w:ascii="Arial" w:hAnsi="Arial" w:cs="Arial"/>
          <w:color w:val="010000"/>
          <w:sz w:val="20"/>
        </w:rPr>
        <w:t>Main timeline:</w:t>
      </w:r>
    </w:p>
    <w:p w14:paraId="6E97517B" w14:textId="6EB427B7" w:rsidR="00837901" w:rsidRPr="004E72C4" w:rsidRDefault="00F45CF9" w:rsidP="00A71FFD">
      <w:pPr>
        <w:pStyle w:val="Vnbnnidung0"/>
        <w:numPr>
          <w:ilvl w:val="0"/>
          <w:numId w:val="3"/>
        </w:numPr>
        <w:tabs>
          <w:tab w:val="left" w:pos="432"/>
        </w:tabs>
        <w:spacing w:after="120" w:line="360" w:lineRule="auto"/>
        <w:ind w:left="0" w:firstLine="0"/>
        <w:rPr>
          <w:rFonts w:ascii="Arial" w:hAnsi="Arial" w:cs="Arial"/>
          <w:color w:val="010000"/>
          <w:sz w:val="20"/>
        </w:rPr>
      </w:pPr>
      <w:r w:rsidRPr="004E72C4">
        <w:rPr>
          <w:rFonts w:ascii="Arial" w:hAnsi="Arial" w:cs="Arial"/>
          <w:color w:val="010000"/>
          <w:sz w:val="20"/>
        </w:rPr>
        <w:t>The Corporation sends an official dispatch to Vietnam Securities Depository and Clearing Corporation (VSDC) to record the list of PVX shareholders and make information disclosure: March 27, 2024.</w:t>
      </w:r>
    </w:p>
    <w:p w14:paraId="6E97517C" w14:textId="0E80BB2A" w:rsidR="00837901" w:rsidRPr="004E72C4" w:rsidRDefault="00F45CF9" w:rsidP="00A71FFD">
      <w:pPr>
        <w:pStyle w:val="Vnbnnidung0"/>
        <w:numPr>
          <w:ilvl w:val="0"/>
          <w:numId w:val="3"/>
        </w:numPr>
        <w:tabs>
          <w:tab w:val="left" w:pos="432"/>
        </w:tabs>
        <w:spacing w:after="120" w:line="360" w:lineRule="auto"/>
        <w:ind w:left="0" w:firstLine="0"/>
        <w:rPr>
          <w:rFonts w:ascii="Arial" w:hAnsi="Arial" w:cs="Arial"/>
          <w:color w:val="010000"/>
          <w:sz w:val="20"/>
        </w:rPr>
      </w:pPr>
      <w:r w:rsidRPr="004E72C4">
        <w:rPr>
          <w:rFonts w:ascii="Arial" w:hAnsi="Arial" w:cs="Arial"/>
          <w:color w:val="010000"/>
          <w:sz w:val="20"/>
        </w:rPr>
        <w:t>Record date of the list of shareholders: April 24, 2024.</w:t>
      </w:r>
    </w:p>
    <w:p w14:paraId="6E97517D" w14:textId="32EE0D9A" w:rsidR="00837901" w:rsidRPr="004E72C4" w:rsidRDefault="00F45CF9" w:rsidP="00A71FFD">
      <w:pPr>
        <w:pStyle w:val="Vnbnnidung0"/>
        <w:numPr>
          <w:ilvl w:val="0"/>
          <w:numId w:val="3"/>
        </w:numPr>
        <w:tabs>
          <w:tab w:val="left" w:pos="432"/>
        </w:tabs>
        <w:spacing w:after="120" w:line="360" w:lineRule="auto"/>
        <w:ind w:left="0" w:firstLine="0"/>
        <w:rPr>
          <w:rFonts w:ascii="Arial" w:hAnsi="Arial" w:cs="Arial"/>
          <w:color w:val="010000"/>
          <w:sz w:val="20"/>
        </w:rPr>
      </w:pPr>
      <w:r w:rsidRPr="004E72C4">
        <w:rPr>
          <w:rFonts w:ascii="Arial" w:hAnsi="Arial" w:cs="Arial"/>
          <w:color w:val="010000"/>
          <w:sz w:val="20"/>
        </w:rPr>
        <w:t>Send invitations and documents to shareholders: Before May 02, 2024;</w:t>
      </w:r>
    </w:p>
    <w:p w14:paraId="6E97517E" w14:textId="77777777" w:rsidR="00837901" w:rsidRPr="004E72C4" w:rsidRDefault="00F45CF9" w:rsidP="00A71FFD">
      <w:pPr>
        <w:pStyle w:val="Vnbnnidung0"/>
        <w:numPr>
          <w:ilvl w:val="0"/>
          <w:numId w:val="1"/>
        </w:numPr>
        <w:tabs>
          <w:tab w:val="left" w:pos="432"/>
          <w:tab w:val="left" w:pos="828"/>
        </w:tabs>
        <w:spacing w:after="120" w:line="360" w:lineRule="auto"/>
        <w:ind w:firstLine="0"/>
        <w:rPr>
          <w:rFonts w:ascii="Arial" w:hAnsi="Arial" w:cs="Arial"/>
          <w:color w:val="010000"/>
          <w:sz w:val="20"/>
          <w:szCs w:val="24"/>
        </w:rPr>
      </w:pPr>
      <w:r w:rsidRPr="004E72C4">
        <w:rPr>
          <w:rFonts w:ascii="Arial" w:hAnsi="Arial" w:cs="Arial"/>
          <w:color w:val="010000"/>
          <w:sz w:val="20"/>
        </w:rPr>
        <w:t>Form and venue of the Meeting: Assign the Meeting Organizing Committee to propose a method of organizing the Meeting suitable to the specific situation of the Corporation.</w:t>
      </w:r>
    </w:p>
    <w:p w14:paraId="6E97517F" w14:textId="77777777" w:rsidR="00837901" w:rsidRPr="004E72C4" w:rsidRDefault="00F45CF9" w:rsidP="00A71FFD">
      <w:pPr>
        <w:pStyle w:val="Vnbnnidung0"/>
        <w:numPr>
          <w:ilvl w:val="0"/>
          <w:numId w:val="1"/>
        </w:numPr>
        <w:tabs>
          <w:tab w:val="left" w:pos="432"/>
          <w:tab w:val="left" w:pos="829"/>
        </w:tabs>
        <w:spacing w:after="120" w:line="360" w:lineRule="auto"/>
        <w:ind w:firstLine="0"/>
        <w:rPr>
          <w:rFonts w:ascii="Arial" w:hAnsi="Arial" w:cs="Arial"/>
          <w:color w:val="010000"/>
          <w:sz w:val="20"/>
        </w:rPr>
      </w:pPr>
      <w:r w:rsidRPr="004E72C4">
        <w:rPr>
          <w:rFonts w:ascii="Arial" w:hAnsi="Arial" w:cs="Arial"/>
          <w:color w:val="010000"/>
          <w:sz w:val="20"/>
        </w:rPr>
        <w:t>Content expected to be approved at the Meeting:</w:t>
      </w:r>
    </w:p>
    <w:p w14:paraId="6E975180" w14:textId="77777777" w:rsidR="00837901" w:rsidRPr="004E72C4" w:rsidRDefault="00F45CF9" w:rsidP="00A71FFD">
      <w:pPr>
        <w:pStyle w:val="Vnbnnidung0"/>
        <w:numPr>
          <w:ilvl w:val="0"/>
          <w:numId w:val="2"/>
        </w:numPr>
        <w:tabs>
          <w:tab w:val="left" w:pos="432"/>
          <w:tab w:val="left" w:pos="805"/>
        </w:tabs>
        <w:spacing w:after="120" w:line="360" w:lineRule="auto"/>
        <w:ind w:firstLine="0"/>
        <w:rPr>
          <w:rFonts w:ascii="Arial" w:hAnsi="Arial" w:cs="Arial"/>
          <w:color w:val="010000"/>
          <w:sz w:val="20"/>
        </w:rPr>
      </w:pPr>
      <w:r w:rsidRPr="004E72C4">
        <w:rPr>
          <w:rFonts w:ascii="Arial" w:hAnsi="Arial" w:cs="Arial"/>
          <w:color w:val="010000"/>
          <w:sz w:val="20"/>
        </w:rPr>
        <w:t>Report on the Board of Directors' activities in 2023 and plan for 2024;</w:t>
      </w:r>
    </w:p>
    <w:p w14:paraId="6E975181" w14:textId="77777777" w:rsidR="00837901" w:rsidRPr="004E72C4" w:rsidRDefault="00F45CF9" w:rsidP="00A71FFD">
      <w:pPr>
        <w:pStyle w:val="Vnbnnidung0"/>
        <w:numPr>
          <w:ilvl w:val="0"/>
          <w:numId w:val="2"/>
        </w:numPr>
        <w:tabs>
          <w:tab w:val="left" w:pos="432"/>
          <w:tab w:val="left" w:pos="799"/>
        </w:tabs>
        <w:spacing w:after="120" w:line="360" w:lineRule="auto"/>
        <w:ind w:firstLine="0"/>
        <w:rPr>
          <w:rFonts w:ascii="Arial" w:hAnsi="Arial" w:cs="Arial"/>
          <w:color w:val="010000"/>
          <w:sz w:val="20"/>
        </w:rPr>
      </w:pPr>
      <w:r w:rsidRPr="004E72C4">
        <w:rPr>
          <w:rFonts w:ascii="Arial" w:hAnsi="Arial" w:cs="Arial"/>
          <w:color w:val="010000"/>
          <w:sz w:val="20"/>
        </w:rPr>
        <w:t>Report on production and business results in 2023 and production and business plan in 2024;</w:t>
      </w:r>
    </w:p>
    <w:p w14:paraId="6E975182" w14:textId="77777777" w:rsidR="00837901" w:rsidRPr="004E72C4" w:rsidRDefault="00F45CF9" w:rsidP="00A71FFD">
      <w:pPr>
        <w:pStyle w:val="Vnbnnidung0"/>
        <w:numPr>
          <w:ilvl w:val="0"/>
          <w:numId w:val="2"/>
        </w:numPr>
        <w:tabs>
          <w:tab w:val="left" w:pos="432"/>
          <w:tab w:val="left" w:pos="806"/>
        </w:tabs>
        <w:spacing w:after="120" w:line="360" w:lineRule="auto"/>
        <w:ind w:firstLine="0"/>
        <w:rPr>
          <w:rFonts w:ascii="Arial" w:hAnsi="Arial" w:cs="Arial"/>
          <w:color w:val="010000"/>
          <w:sz w:val="20"/>
        </w:rPr>
      </w:pPr>
      <w:r w:rsidRPr="004E72C4">
        <w:rPr>
          <w:rFonts w:ascii="Arial" w:hAnsi="Arial" w:cs="Arial"/>
          <w:color w:val="010000"/>
          <w:sz w:val="20"/>
        </w:rPr>
        <w:t>Report on the activities of the Supervisory Board in 2023 and plan for 2024;</w:t>
      </w:r>
    </w:p>
    <w:p w14:paraId="6E975183" w14:textId="77777777" w:rsidR="00837901" w:rsidRPr="004E72C4" w:rsidRDefault="00F45CF9" w:rsidP="00A71FFD">
      <w:pPr>
        <w:pStyle w:val="Vnbnnidung0"/>
        <w:numPr>
          <w:ilvl w:val="0"/>
          <w:numId w:val="2"/>
        </w:numPr>
        <w:tabs>
          <w:tab w:val="left" w:pos="432"/>
          <w:tab w:val="left" w:pos="808"/>
        </w:tabs>
        <w:spacing w:after="120" w:line="360" w:lineRule="auto"/>
        <w:ind w:firstLine="0"/>
        <w:rPr>
          <w:rFonts w:ascii="Arial" w:hAnsi="Arial" w:cs="Arial"/>
          <w:color w:val="010000"/>
          <w:sz w:val="20"/>
        </w:rPr>
      </w:pPr>
      <w:r w:rsidRPr="004E72C4">
        <w:rPr>
          <w:rFonts w:ascii="Arial" w:hAnsi="Arial" w:cs="Arial"/>
          <w:color w:val="010000"/>
          <w:sz w:val="20"/>
        </w:rPr>
        <w:t>Proposal on the approval of the audited Financial Statements 2023 and the profit distribution plan 2023;</w:t>
      </w:r>
    </w:p>
    <w:p w14:paraId="6E975184" w14:textId="77777777" w:rsidR="00837901" w:rsidRPr="004E72C4" w:rsidRDefault="00F45CF9" w:rsidP="00A71FFD">
      <w:pPr>
        <w:pStyle w:val="Vnbnnidung0"/>
        <w:numPr>
          <w:ilvl w:val="0"/>
          <w:numId w:val="2"/>
        </w:numPr>
        <w:tabs>
          <w:tab w:val="left" w:pos="432"/>
          <w:tab w:val="left" w:pos="806"/>
        </w:tabs>
        <w:spacing w:after="120" w:line="360" w:lineRule="auto"/>
        <w:ind w:firstLine="0"/>
        <w:rPr>
          <w:rFonts w:ascii="Arial" w:hAnsi="Arial" w:cs="Arial"/>
          <w:color w:val="010000"/>
          <w:sz w:val="20"/>
        </w:rPr>
      </w:pPr>
      <w:r w:rsidRPr="004E72C4">
        <w:rPr>
          <w:rFonts w:ascii="Arial" w:hAnsi="Arial" w:cs="Arial"/>
          <w:color w:val="010000"/>
          <w:sz w:val="20"/>
        </w:rPr>
        <w:t>Proposal on the selection of audit company for the Financial Statements in 2024;</w:t>
      </w:r>
    </w:p>
    <w:p w14:paraId="6E975185" w14:textId="77777777" w:rsidR="00837901" w:rsidRPr="004E72C4" w:rsidRDefault="00F45CF9" w:rsidP="00A71FFD">
      <w:pPr>
        <w:pStyle w:val="Vnbnnidung0"/>
        <w:numPr>
          <w:ilvl w:val="0"/>
          <w:numId w:val="2"/>
        </w:numPr>
        <w:tabs>
          <w:tab w:val="left" w:pos="432"/>
          <w:tab w:val="left" w:pos="808"/>
        </w:tabs>
        <w:spacing w:after="120" w:line="360" w:lineRule="auto"/>
        <w:ind w:firstLine="0"/>
        <w:rPr>
          <w:rFonts w:ascii="Arial" w:hAnsi="Arial" w:cs="Arial"/>
          <w:color w:val="010000"/>
          <w:sz w:val="20"/>
        </w:rPr>
      </w:pPr>
      <w:r w:rsidRPr="004E72C4">
        <w:rPr>
          <w:rFonts w:ascii="Arial" w:hAnsi="Arial" w:cs="Arial"/>
          <w:color w:val="010000"/>
          <w:sz w:val="20"/>
        </w:rPr>
        <w:t>Proposal on finalization of salary and remuneration in 2023 and salary and remuneration plan for 2024 of the Board of Directors and Supervisory Board;</w:t>
      </w:r>
    </w:p>
    <w:p w14:paraId="6E975186" w14:textId="77777777" w:rsidR="00837901" w:rsidRPr="004E72C4" w:rsidRDefault="00F45CF9" w:rsidP="00A71FFD">
      <w:pPr>
        <w:pStyle w:val="Vnbnnidung0"/>
        <w:numPr>
          <w:ilvl w:val="0"/>
          <w:numId w:val="2"/>
        </w:numPr>
        <w:tabs>
          <w:tab w:val="left" w:pos="432"/>
          <w:tab w:val="left" w:pos="808"/>
        </w:tabs>
        <w:spacing w:after="120" w:line="360" w:lineRule="auto"/>
        <w:ind w:firstLine="0"/>
        <w:rPr>
          <w:rFonts w:ascii="Arial" w:hAnsi="Arial" w:cs="Arial"/>
          <w:color w:val="010000"/>
          <w:sz w:val="20"/>
        </w:rPr>
      </w:pPr>
      <w:r w:rsidRPr="004E72C4">
        <w:rPr>
          <w:rFonts w:ascii="Arial" w:hAnsi="Arial" w:cs="Arial"/>
          <w:color w:val="010000"/>
          <w:sz w:val="20"/>
        </w:rPr>
        <w:t>Annual Corporate Governance Report 2023.</w:t>
      </w:r>
    </w:p>
    <w:p w14:paraId="6E975187" w14:textId="77777777" w:rsidR="00837901" w:rsidRPr="004E72C4" w:rsidRDefault="00F45CF9" w:rsidP="00A71FFD">
      <w:pPr>
        <w:pStyle w:val="Vnbnnidung0"/>
        <w:numPr>
          <w:ilvl w:val="0"/>
          <w:numId w:val="2"/>
        </w:numPr>
        <w:tabs>
          <w:tab w:val="left" w:pos="432"/>
          <w:tab w:val="left" w:pos="806"/>
        </w:tabs>
        <w:spacing w:after="120" w:line="360" w:lineRule="auto"/>
        <w:ind w:firstLine="0"/>
        <w:rPr>
          <w:rFonts w:ascii="Arial" w:hAnsi="Arial" w:cs="Arial"/>
          <w:color w:val="010000"/>
          <w:sz w:val="20"/>
        </w:rPr>
      </w:pPr>
      <w:r w:rsidRPr="004E72C4">
        <w:rPr>
          <w:rFonts w:ascii="Arial" w:hAnsi="Arial" w:cs="Arial"/>
          <w:color w:val="010000"/>
          <w:sz w:val="20"/>
        </w:rPr>
        <w:t>Other contents under the authorities of the General Meeting of Shareholders (if any).</w:t>
      </w:r>
    </w:p>
    <w:p w14:paraId="6E975188" w14:textId="77777777" w:rsidR="00837901" w:rsidRPr="004E72C4" w:rsidRDefault="00F45CF9" w:rsidP="00A71FFD">
      <w:pPr>
        <w:pStyle w:val="Vnbnnidung0"/>
        <w:tabs>
          <w:tab w:val="left" w:pos="432"/>
        </w:tabs>
        <w:spacing w:after="120" w:line="360" w:lineRule="auto"/>
        <w:ind w:firstLine="0"/>
        <w:rPr>
          <w:rFonts w:ascii="Arial" w:hAnsi="Arial" w:cs="Arial"/>
          <w:color w:val="010000"/>
          <w:sz w:val="20"/>
        </w:rPr>
      </w:pPr>
      <w:r w:rsidRPr="004E72C4">
        <w:rPr>
          <w:rFonts w:ascii="Arial" w:hAnsi="Arial" w:cs="Arial"/>
          <w:color w:val="010000"/>
          <w:sz w:val="20"/>
        </w:rPr>
        <w:t>‎‎Article 2. The Meeting Organizing Committee is responsible for:</w:t>
      </w:r>
    </w:p>
    <w:p w14:paraId="6E975189" w14:textId="77777777" w:rsidR="00837901" w:rsidRPr="004E72C4" w:rsidRDefault="00F45CF9" w:rsidP="00A71FFD">
      <w:pPr>
        <w:pStyle w:val="Vnbnnidung0"/>
        <w:numPr>
          <w:ilvl w:val="0"/>
          <w:numId w:val="2"/>
        </w:numPr>
        <w:tabs>
          <w:tab w:val="left" w:pos="432"/>
          <w:tab w:val="left" w:pos="804"/>
        </w:tabs>
        <w:spacing w:after="120" w:line="360" w:lineRule="auto"/>
        <w:ind w:firstLine="0"/>
        <w:rPr>
          <w:rFonts w:ascii="Arial" w:hAnsi="Arial" w:cs="Arial"/>
          <w:color w:val="010000"/>
          <w:sz w:val="20"/>
        </w:rPr>
      </w:pPr>
      <w:r w:rsidRPr="004E72C4">
        <w:rPr>
          <w:rFonts w:ascii="Arial" w:hAnsi="Arial" w:cs="Arial"/>
          <w:color w:val="010000"/>
          <w:sz w:val="20"/>
        </w:rPr>
        <w:t>Reviewing the content of documents and the progress of completing documents for the Meeting to report to the Board of Directors according to the set plan.</w:t>
      </w:r>
    </w:p>
    <w:p w14:paraId="6E97518A" w14:textId="77777777" w:rsidR="00837901" w:rsidRPr="004E72C4" w:rsidRDefault="00F45CF9" w:rsidP="00A71FFD">
      <w:pPr>
        <w:pStyle w:val="Vnbnnidung0"/>
        <w:numPr>
          <w:ilvl w:val="0"/>
          <w:numId w:val="2"/>
        </w:numPr>
        <w:tabs>
          <w:tab w:val="left" w:pos="432"/>
          <w:tab w:val="left" w:pos="808"/>
        </w:tabs>
        <w:spacing w:after="120" w:line="360" w:lineRule="auto"/>
        <w:ind w:firstLine="0"/>
        <w:rPr>
          <w:rFonts w:ascii="Arial" w:hAnsi="Arial" w:cs="Arial"/>
          <w:color w:val="010000"/>
          <w:sz w:val="20"/>
        </w:rPr>
      </w:pPr>
      <w:r w:rsidRPr="004E72C4">
        <w:rPr>
          <w:rFonts w:ascii="Arial" w:hAnsi="Arial" w:cs="Arial"/>
          <w:color w:val="010000"/>
          <w:sz w:val="20"/>
        </w:rPr>
        <w:t xml:space="preserve">The Meeting Organizing Committee performs the tasks according to Decision No. 16/QD-XLDK dated March 12, 2024, coordinates with relevant Departments of the Corporation and reports to the </w:t>
      </w:r>
      <w:r w:rsidRPr="004E72C4">
        <w:rPr>
          <w:rFonts w:ascii="Arial" w:hAnsi="Arial" w:cs="Arial"/>
          <w:color w:val="010000"/>
          <w:sz w:val="20"/>
        </w:rPr>
        <w:lastRenderedPageBreak/>
        <w:t>General Manager of the Corporation to carry out tasks related to the organization of the Meeting in accordance with the provisions of Law, the Charter of the Corporation and Vietnam Oil and Gas Group.</w:t>
      </w:r>
    </w:p>
    <w:p w14:paraId="6E97518F" w14:textId="065E1C72" w:rsidR="00837901" w:rsidRPr="004E72C4" w:rsidRDefault="00F45CF9" w:rsidP="00A71FFD">
      <w:pPr>
        <w:pStyle w:val="Vnbnnidung0"/>
        <w:tabs>
          <w:tab w:val="left" w:pos="432"/>
        </w:tabs>
        <w:spacing w:after="120" w:line="360" w:lineRule="auto"/>
        <w:ind w:firstLine="0"/>
        <w:rPr>
          <w:rFonts w:ascii="Arial" w:hAnsi="Arial" w:cs="Arial"/>
          <w:color w:val="010000"/>
          <w:sz w:val="20"/>
        </w:rPr>
      </w:pPr>
      <w:r w:rsidRPr="004E72C4">
        <w:rPr>
          <w:rFonts w:ascii="Arial" w:hAnsi="Arial" w:cs="Arial"/>
          <w:color w:val="010000"/>
          <w:sz w:val="20"/>
        </w:rPr>
        <w:t>‎‎Article 3. The General Manager, the Meeting Organizing Committee, and Heads of Departments of the Corporation are responsible for implementing this Resolution./.</w:t>
      </w:r>
    </w:p>
    <w:sectPr w:rsidR="00837901" w:rsidRPr="004E72C4" w:rsidSect="00A71FFD">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3D16E" w14:textId="77777777" w:rsidR="00687B19" w:rsidRDefault="00687B19">
      <w:r>
        <w:separator/>
      </w:r>
    </w:p>
  </w:endnote>
  <w:endnote w:type="continuationSeparator" w:id="0">
    <w:p w14:paraId="7EF5E7C4" w14:textId="77777777" w:rsidR="00687B19" w:rsidRDefault="0068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Aptos Display">
    <w:charset w:val="00"/>
    <w:family w:val="swiss"/>
    <w:pitch w:val="variable"/>
    <w:sig w:usb0="20000287" w:usb1="00000003" w:usb2="00000000" w:usb3="00000000" w:csb0="0000019F" w:csb1="00000000"/>
  </w:font>
  <w:font w:name="游明朝">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35084" w14:textId="77777777" w:rsidR="00687B19" w:rsidRDefault="00687B19"/>
  </w:footnote>
  <w:footnote w:type="continuationSeparator" w:id="0">
    <w:p w14:paraId="138A8751" w14:textId="77777777" w:rsidR="00687B19" w:rsidRDefault="00687B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A1E0E"/>
    <w:multiLevelType w:val="multilevel"/>
    <w:tmpl w:val="E6D89338"/>
    <w:lvl w:ilvl="0">
      <w:start w:val="1"/>
      <w:numFmt w:val="decimal"/>
      <w:lvlText w:val="%1."/>
      <w:lvlJc w:val="left"/>
      <w:rPr>
        <w:rFonts w:ascii="Arial" w:eastAsia="Times New Roman" w:hAnsi="Arial" w:cs="Arial"/>
        <w:b w:val="0"/>
        <w:bCs w:val="0"/>
        <w:i w:val="0"/>
        <w:iCs/>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AC21B5"/>
    <w:multiLevelType w:val="hybridMultilevel"/>
    <w:tmpl w:val="8AF09930"/>
    <w:lvl w:ilvl="0" w:tplc="7C6CBF72">
      <w:start w:val="1"/>
      <w:numFmt w:val="bullet"/>
      <w:lvlText w:val="+"/>
      <w:lvlJc w:val="left"/>
      <w:pPr>
        <w:ind w:left="720" w:hanging="360"/>
      </w:pPr>
      <w:rPr>
        <w:rFonts w:ascii="Arial" w:hAnsi="Arial" w:hint="default"/>
        <w:b w:val="0"/>
        <w:i w:val="0"/>
        <w:sz w:val="20"/>
      </w:rPr>
    </w:lvl>
    <w:lvl w:ilvl="1" w:tplc="8A988E86" w:tentative="1">
      <w:start w:val="1"/>
      <w:numFmt w:val="bullet"/>
      <w:lvlText w:val="o"/>
      <w:lvlJc w:val="left"/>
      <w:pPr>
        <w:ind w:left="1440" w:hanging="360"/>
      </w:pPr>
      <w:rPr>
        <w:rFonts w:ascii="Courier New" w:hAnsi="Courier New" w:cs="Courier New" w:hint="default"/>
        <w:b w:val="0"/>
        <w:i w:val="0"/>
        <w:sz w:val="20"/>
      </w:rPr>
    </w:lvl>
    <w:lvl w:ilvl="2" w:tplc="523420F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16FFF"/>
    <w:multiLevelType w:val="multilevel"/>
    <w:tmpl w:val="24A8A5B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01"/>
    <w:rsid w:val="0003748B"/>
    <w:rsid w:val="0020211A"/>
    <w:rsid w:val="004341DC"/>
    <w:rsid w:val="004E72C4"/>
    <w:rsid w:val="005E0B67"/>
    <w:rsid w:val="005E2DD6"/>
    <w:rsid w:val="00687B19"/>
    <w:rsid w:val="00837901"/>
    <w:rsid w:val="00852BC8"/>
    <w:rsid w:val="00A71FFD"/>
    <w:rsid w:val="00DC4BD3"/>
    <w:rsid w:val="00F4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75166"/>
  <w15:docId w15:val="{8CFE096A-ABE3-4E08-9FE4-DF3444AF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spacing w:line="288" w:lineRule="auto"/>
      <w:ind w:firstLine="320"/>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64" w:lineRule="auto"/>
      <w:ind w:left="1800"/>
      <w:jc w:val="center"/>
    </w:pPr>
    <w:rPr>
      <w:rFonts w:ascii="Times New Roman" w:eastAsia="Times New Roman" w:hAnsi="Times New Roman" w:cs="Times New Roman"/>
      <w:b/>
      <w:bCs/>
    </w:rPr>
  </w:style>
  <w:style w:type="paragraph" w:customStyle="1" w:styleId="Tiu10">
    <w:name w:val="Tiêu đề #1"/>
    <w:basedOn w:val="Normal"/>
    <w:link w:val="Tiu1"/>
    <w:pPr>
      <w:spacing w:line="269" w:lineRule="auto"/>
      <w:ind w:left="1800"/>
      <w:jc w:val="center"/>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2024-03-25T03:24:00Z</dcterms:created>
  <dcterms:modified xsi:type="dcterms:W3CDTF">2024-03-25T03:24:00Z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d4f60e00bb95dc6a61b93457479fa558df3c9c03d82934a0b1cfe57321e7cfdb</vt:lpwstr>
  </property>
</Properties>
</file>