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6415" w14:textId="77777777" w:rsidR="006C71D5" w:rsidRPr="00D65E45" w:rsidRDefault="006C71D5" w:rsidP="0059732F">
      <w:pPr>
        <w:pStyle w:val="Vnbnnidung0"/>
        <w:spacing w:after="120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D65E45">
        <w:rPr>
          <w:rFonts w:ascii="Arial" w:hAnsi="Arial" w:cs="Arial"/>
          <w:b/>
          <w:color w:val="010000"/>
          <w:sz w:val="20"/>
        </w:rPr>
        <w:t>HAM: Board Resolution</w:t>
      </w:r>
    </w:p>
    <w:p w14:paraId="65D4A71F" w14:textId="396B31F9" w:rsidR="006C71D5" w:rsidRPr="00D65E45" w:rsidRDefault="006C71D5" w:rsidP="0059732F">
      <w:pPr>
        <w:pStyle w:val="Vnbnnidung0"/>
        <w:spacing w:after="120"/>
        <w:ind w:firstLine="0"/>
        <w:jc w:val="both"/>
        <w:rPr>
          <w:rFonts w:ascii="Arial" w:hAnsi="Arial" w:cs="Arial"/>
          <w:bCs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>On March 21, 2024, Hau Giang Materials Joint Stock Company announced Resolution No. 04/2024/NQ-HDQT, as follows:</w:t>
      </w:r>
    </w:p>
    <w:p w14:paraId="78A45CF0" w14:textId="3C60BA37" w:rsidR="00527F39" w:rsidRPr="00D65E45" w:rsidRDefault="004067E7" w:rsidP="0059732F">
      <w:pPr>
        <w:pStyle w:val="Vnbnnidung0"/>
        <w:tabs>
          <w:tab w:val="left" w:pos="432"/>
        </w:tabs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>Article 1: The Board of Directors approved the 2nd round of dividend payment of 2023 in cash as follows:</w:t>
      </w:r>
    </w:p>
    <w:p w14:paraId="78A45CF1" w14:textId="28CB4804" w:rsidR="00527F39" w:rsidRPr="00D65E45" w:rsidRDefault="004067E7" w:rsidP="0059732F">
      <w:pPr>
        <w:pStyle w:val="Vnbnnidung0"/>
        <w:numPr>
          <w:ilvl w:val="0"/>
          <w:numId w:val="1"/>
        </w:numPr>
        <w:tabs>
          <w:tab w:val="left" w:pos="432"/>
          <w:tab w:val="left" w:pos="1009"/>
        </w:tabs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>2nd round of dividend payment of 2023: 5%</w:t>
      </w:r>
      <w:bookmarkStart w:id="0" w:name="_GoBack"/>
      <w:bookmarkEnd w:id="0"/>
      <w:r w:rsidRPr="00D65E45">
        <w:rPr>
          <w:rFonts w:ascii="Arial" w:hAnsi="Arial" w:cs="Arial"/>
          <w:color w:val="010000"/>
          <w:sz w:val="20"/>
        </w:rPr>
        <w:t xml:space="preserve"> (Shareholders receive VND 500 for every </w:t>
      </w:r>
      <w:r w:rsidR="0059732F">
        <w:rPr>
          <w:rFonts w:ascii="Arial" w:hAnsi="Arial" w:cs="Arial"/>
          <w:color w:val="010000"/>
          <w:sz w:val="20"/>
        </w:rPr>
        <w:t>01 share owned)</w:t>
      </w:r>
    </w:p>
    <w:p w14:paraId="78A45CF2" w14:textId="27AE9D24" w:rsidR="00527F39" w:rsidRPr="00D65E45" w:rsidRDefault="004067E7" w:rsidP="0059732F">
      <w:pPr>
        <w:pStyle w:val="Vnbnnidung0"/>
        <w:numPr>
          <w:ilvl w:val="0"/>
          <w:numId w:val="1"/>
        </w:numPr>
        <w:tabs>
          <w:tab w:val="left" w:pos="432"/>
          <w:tab w:val="left" w:pos="1006"/>
        </w:tabs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 xml:space="preserve">Record date for the list of shareholders </w:t>
      </w:r>
      <w:r w:rsidR="00D65E45" w:rsidRPr="00D65E45">
        <w:rPr>
          <w:rFonts w:ascii="Arial" w:hAnsi="Arial" w:cs="Arial"/>
          <w:color w:val="010000"/>
          <w:sz w:val="20"/>
        </w:rPr>
        <w:t xml:space="preserve">exercising the rights of </w:t>
      </w:r>
      <w:r w:rsidRPr="00D65E45">
        <w:rPr>
          <w:rFonts w:ascii="Arial" w:hAnsi="Arial" w:cs="Arial"/>
          <w:color w:val="010000"/>
          <w:sz w:val="20"/>
        </w:rPr>
        <w:t>dividend payment: April 05, 2024</w:t>
      </w:r>
    </w:p>
    <w:p w14:paraId="78A45CF3" w14:textId="77777777" w:rsidR="00527F39" w:rsidRPr="00D65E45" w:rsidRDefault="004067E7" w:rsidP="0059732F">
      <w:pPr>
        <w:pStyle w:val="Vnbnnidung0"/>
        <w:numPr>
          <w:ilvl w:val="0"/>
          <w:numId w:val="1"/>
        </w:numPr>
        <w:tabs>
          <w:tab w:val="left" w:pos="432"/>
          <w:tab w:val="left" w:pos="1006"/>
        </w:tabs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>Dividend payment date: April 26, 2024</w:t>
      </w:r>
    </w:p>
    <w:p w14:paraId="78A45CF4" w14:textId="77777777" w:rsidR="00527F39" w:rsidRPr="00D65E45" w:rsidRDefault="004067E7" w:rsidP="0059732F">
      <w:pPr>
        <w:pStyle w:val="Vnbnnidung0"/>
        <w:numPr>
          <w:ilvl w:val="0"/>
          <w:numId w:val="1"/>
        </w:numPr>
        <w:tabs>
          <w:tab w:val="left" w:pos="432"/>
          <w:tab w:val="left" w:pos="1006"/>
        </w:tabs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>Payment form: Cash or bank transfer.</w:t>
      </w:r>
    </w:p>
    <w:p w14:paraId="78A45CFC" w14:textId="7F0D0F18" w:rsidR="00527F39" w:rsidRPr="00D65E45" w:rsidRDefault="004067E7" w:rsidP="0059732F">
      <w:pPr>
        <w:pStyle w:val="Vnbnnidung0"/>
        <w:spacing w:after="120"/>
        <w:ind w:firstLine="0"/>
        <w:jc w:val="both"/>
        <w:rPr>
          <w:rFonts w:ascii="Arial" w:hAnsi="Arial" w:cs="Arial"/>
          <w:color w:val="010000"/>
          <w:sz w:val="20"/>
        </w:rPr>
      </w:pPr>
      <w:r w:rsidRPr="00D65E45">
        <w:rPr>
          <w:rFonts w:ascii="Arial" w:hAnsi="Arial" w:cs="Arial"/>
          <w:color w:val="010000"/>
          <w:sz w:val="20"/>
        </w:rPr>
        <w:t xml:space="preserve">Article 2: This </w:t>
      </w:r>
      <w:r w:rsidR="0059732F">
        <w:rPr>
          <w:rFonts w:ascii="Arial" w:hAnsi="Arial" w:cs="Arial"/>
          <w:color w:val="010000"/>
          <w:sz w:val="20"/>
        </w:rPr>
        <w:t xml:space="preserve">Board </w:t>
      </w:r>
      <w:r w:rsidRPr="00D65E45">
        <w:rPr>
          <w:rFonts w:ascii="Arial" w:hAnsi="Arial" w:cs="Arial"/>
          <w:color w:val="010000"/>
          <w:sz w:val="20"/>
        </w:rPr>
        <w:t>Resolution takes effect from the date of its signing. Members</w:t>
      </w:r>
      <w:r w:rsidR="0059732F">
        <w:rPr>
          <w:rFonts w:ascii="Arial" w:hAnsi="Arial" w:cs="Arial"/>
          <w:color w:val="010000"/>
          <w:sz w:val="20"/>
        </w:rPr>
        <w:t xml:space="preserve"> of the Board of Directors, Audit Committee, </w:t>
      </w:r>
      <w:r w:rsidRPr="00D65E45">
        <w:rPr>
          <w:rFonts w:ascii="Arial" w:hAnsi="Arial" w:cs="Arial"/>
          <w:color w:val="010000"/>
          <w:sz w:val="20"/>
        </w:rPr>
        <w:t xml:space="preserve">Internal Audit Committee, </w:t>
      </w:r>
      <w:r w:rsidR="0059732F">
        <w:rPr>
          <w:rFonts w:ascii="Arial" w:hAnsi="Arial" w:cs="Arial"/>
          <w:color w:val="010000"/>
          <w:sz w:val="20"/>
        </w:rPr>
        <w:t>Executive Board</w:t>
      </w:r>
      <w:r w:rsidR="00D65E45" w:rsidRPr="00D65E45">
        <w:rPr>
          <w:rFonts w:ascii="Arial" w:hAnsi="Arial" w:cs="Arial"/>
          <w:color w:val="010000"/>
          <w:sz w:val="20"/>
        </w:rPr>
        <w:t xml:space="preserve">, </w:t>
      </w:r>
      <w:r w:rsidRPr="00D65E45">
        <w:rPr>
          <w:rFonts w:ascii="Arial" w:hAnsi="Arial" w:cs="Arial"/>
          <w:color w:val="010000"/>
          <w:sz w:val="20"/>
        </w:rPr>
        <w:t>professional departments and relevant individuals are responsible for implementing this Resolution.</w:t>
      </w:r>
    </w:p>
    <w:sectPr w:rsidR="00527F39" w:rsidRPr="00D65E45" w:rsidSect="00A70ADD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8953" w14:textId="77777777" w:rsidR="002C1C01" w:rsidRDefault="002C1C01">
      <w:r>
        <w:separator/>
      </w:r>
    </w:p>
  </w:endnote>
  <w:endnote w:type="continuationSeparator" w:id="0">
    <w:p w14:paraId="51D97CCE" w14:textId="77777777" w:rsidR="002C1C01" w:rsidRDefault="002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696C" w14:textId="77777777" w:rsidR="002C1C01" w:rsidRDefault="002C1C01"/>
  </w:footnote>
  <w:footnote w:type="continuationSeparator" w:id="0">
    <w:p w14:paraId="74989565" w14:textId="77777777" w:rsidR="002C1C01" w:rsidRDefault="002C1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2FD8"/>
    <w:multiLevelType w:val="multilevel"/>
    <w:tmpl w:val="2DD82DD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39"/>
    <w:rsid w:val="0006330F"/>
    <w:rsid w:val="0028607D"/>
    <w:rsid w:val="002C1C01"/>
    <w:rsid w:val="004067E7"/>
    <w:rsid w:val="00527F39"/>
    <w:rsid w:val="0057018F"/>
    <w:rsid w:val="00574446"/>
    <w:rsid w:val="0058585F"/>
    <w:rsid w:val="0059732F"/>
    <w:rsid w:val="006C71D5"/>
    <w:rsid w:val="00936F9F"/>
    <w:rsid w:val="00A70ADD"/>
    <w:rsid w:val="00D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45CE4"/>
  <w15:docId w15:val="{E288D5CC-15E1-42AD-A5EA-74996E18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color w:val="AC060E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AC060E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C060E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31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50">
    <w:name w:val="Văn bản nội dung (5)"/>
    <w:basedOn w:val="Normal"/>
    <w:link w:val="Vnbnnidung5"/>
    <w:pPr>
      <w:ind w:left="4880"/>
    </w:pPr>
    <w:rPr>
      <w:rFonts w:ascii="Times New Roman" w:eastAsia="Times New Roman" w:hAnsi="Times New Roman" w:cs="Times New Roman"/>
      <w:b/>
      <w:bCs/>
      <w:i/>
      <w:iCs/>
      <w:color w:val="AC060E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02" w:lineRule="auto"/>
      <w:ind w:left="5040"/>
    </w:pPr>
    <w:rPr>
      <w:rFonts w:ascii="Arial" w:eastAsia="Arial" w:hAnsi="Arial" w:cs="Arial"/>
      <w:smallCaps/>
      <w:color w:val="AC060E"/>
      <w:sz w:val="34"/>
      <w:szCs w:val="34"/>
    </w:rPr>
  </w:style>
  <w:style w:type="paragraph" w:customStyle="1" w:styleId="Vnbnnidung40">
    <w:name w:val="Văn bản nội dung (4)"/>
    <w:basedOn w:val="Normal"/>
    <w:link w:val="Vnbnnidung4"/>
    <w:pPr>
      <w:ind w:left="4880"/>
    </w:pPr>
    <w:rPr>
      <w:rFonts w:ascii="Times New Roman" w:eastAsia="Times New Roman" w:hAnsi="Times New Roman" w:cs="Times New Roman"/>
      <w:color w:val="AC060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2024-03-26T03:01:00Z</dcterms:created>
  <dcterms:modified xsi:type="dcterms:W3CDTF">2024-03-26T03:02:00Z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50f2c6c04cbd6514960db3ce2b098b285a2645a5147fb3795c1f08c0f74d9be1</vt:lpwstr>
  </property>
</Properties>
</file>