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7583" w14:textId="77777777" w:rsidR="0025125B" w:rsidRPr="00AA44B0" w:rsidRDefault="0025125B" w:rsidP="00FB4D10">
      <w:pPr>
        <w:pStyle w:val="BodyText"/>
        <w:tabs>
          <w:tab w:val="left" w:pos="432"/>
        </w:tabs>
        <w:spacing w:line="360" w:lineRule="auto"/>
        <w:ind w:firstLine="0"/>
        <w:jc w:val="both"/>
        <w:rPr>
          <w:rFonts w:ascii="Arial" w:hAnsi="Arial" w:cs="Arial"/>
          <w:b/>
          <w:color w:val="010000"/>
          <w:sz w:val="20"/>
        </w:rPr>
      </w:pPr>
      <w:r w:rsidRPr="00AA44B0">
        <w:rPr>
          <w:rFonts w:ascii="Arial" w:hAnsi="Arial" w:cs="Arial"/>
          <w:b/>
          <w:color w:val="010000"/>
          <w:sz w:val="20"/>
        </w:rPr>
        <w:t>TOS: Explanation on difference in profit after tax</w:t>
      </w:r>
    </w:p>
    <w:p w14:paraId="6FE5E78E" w14:textId="42A9BF74" w:rsidR="0025125B" w:rsidRPr="00AA44B0" w:rsidRDefault="0025125B" w:rsidP="00FB4D10">
      <w:pPr>
        <w:pStyle w:val="BodyText"/>
        <w:tabs>
          <w:tab w:val="left" w:pos="432"/>
        </w:tabs>
        <w:spacing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AA44B0">
        <w:rPr>
          <w:rFonts w:ascii="Arial" w:hAnsi="Arial" w:cs="Arial"/>
          <w:color w:val="010000"/>
          <w:sz w:val="20"/>
        </w:rPr>
        <w:t xml:space="preserve">On March 21, 2024, Tan Cang Offshore Services Joint Stock Company announced Official Dispatch No. 74/2024/TOS-GT on explanation on the difference of 10% or more of the profit after tax in the audited consolidated Financial Statements 2023 as follows: </w:t>
      </w:r>
    </w:p>
    <w:tbl>
      <w:tblPr>
        <w:tblOverlap w:val="never"/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038"/>
        <w:gridCol w:w="2125"/>
        <w:gridCol w:w="2037"/>
        <w:gridCol w:w="1145"/>
      </w:tblGrid>
      <w:tr w:rsidR="00D64740" w:rsidRPr="00AA44B0" w14:paraId="6887C2F3" w14:textId="77777777" w:rsidTr="00025684">
        <w:trPr>
          <w:jc w:val="right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F5516" w14:textId="77777777" w:rsidR="00D64740" w:rsidRPr="00AA44B0" w:rsidRDefault="006D178C" w:rsidP="00FB4D10">
            <w:pPr>
              <w:pStyle w:val="Other0"/>
              <w:tabs>
                <w:tab w:val="left" w:pos="432"/>
              </w:tabs>
              <w:spacing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A44B0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8B532" w14:textId="7D0A3F7B" w:rsidR="00D64740" w:rsidRPr="00AA44B0" w:rsidRDefault="006D178C" w:rsidP="00FB4D10">
            <w:pPr>
              <w:pStyle w:val="Other0"/>
              <w:tabs>
                <w:tab w:val="left" w:pos="432"/>
              </w:tabs>
              <w:spacing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A44B0">
              <w:rPr>
                <w:rFonts w:ascii="Arial" w:hAnsi="Arial" w:cs="Arial"/>
                <w:color w:val="010000"/>
                <w:sz w:val="20"/>
              </w:rPr>
              <w:t>In 2023 (After audit)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C12A2" w14:textId="77777777" w:rsidR="00D64740" w:rsidRPr="00AA44B0" w:rsidRDefault="006D178C" w:rsidP="00FB4D10">
            <w:pPr>
              <w:pStyle w:val="Other0"/>
              <w:tabs>
                <w:tab w:val="left" w:pos="432"/>
              </w:tabs>
              <w:spacing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A44B0">
              <w:rPr>
                <w:rFonts w:ascii="Arial" w:hAnsi="Arial" w:cs="Arial"/>
                <w:color w:val="010000"/>
                <w:sz w:val="20"/>
              </w:rPr>
              <w:t>In 2022 (After audit)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B808" w14:textId="77777777" w:rsidR="00D64740" w:rsidRPr="00AA44B0" w:rsidRDefault="006D178C" w:rsidP="00FB4D10">
            <w:pPr>
              <w:pStyle w:val="Other0"/>
              <w:tabs>
                <w:tab w:val="left" w:pos="432"/>
              </w:tabs>
              <w:spacing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A44B0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D64740" w:rsidRPr="00AA44B0" w14:paraId="00A0093E" w14:textId="77777777" w:rsidTr="00025684">
        <w:trPr>
          <w:jc w:val="right"/>
        </w:trPr>
        <w:tc>
          <w:tcPr>
            <w:tcW w:w="94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EDF63" w14:textId="77777777" w:rsidR="00D64740" w:rsidRPr="00AA44B0" w:rsidRDefault="00D64740" w:rsidP="00FB4D1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C9D26" w14:textId="77777777" w:rsidR="00D64740" w:rsidRPr="00AA44B0" w:rsidRDefault="00D64740" w:rsidP="00FB4D1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59FE2" w14:textId="77777777" w:rsidR="00D64740" w:rsidRPr="00AA44B0" w:rsidRDefault="00D64740" w:rsidP="00FB4D1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37C37" w14:textId="77777777" w:rsidR="00D64740" w:rsidRPr="00AA44B0" w:rsidRDefault="006D178C" w:rsidP="00FB4D10">
            <w:pPr>
              <w:pStyle w:val="Other0"/>
              <w:tabs>
                <w:tab w:val="left" w:pos="432"/>
              </w:tabs>
              <w:spacing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A44B0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1F06" w14:textId="77777777" w:rsidR="00D64740" w:rsidRPr="00AA44B0" w:rsidRDefault="006D178C" w:rsidP="00FB4D10">
            <w:pPr>
              <w:pStyle w:val="Other0"/>
              <w:tabs>
                <w:tab w:val="left" w:pos="432"/>
              </w:tabs>
              <w:spacing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A44B0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D64740" w:rsidRPr="00AA44B0" w14:paraId="4C6411FE" w14:textId="77777777" w:rsidTr="00025684">
        <w:trPr>
          <w:jc w:val="right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63F08" w14:textId="5777CCC3" w:rsidR="00D64740" w:rsidRPr="00AA44B0" w:rsidRDefault="006D178C" w:rsidP="00FB4D10">
            <w:pPr>
              <w:pStyle w:val="Other0"/>
              <w:tabs>
                <w:tab w:val="left" w:pos="432"/>
                <w:tab w:val="left" w:pos="888"/>
              </w:tabs>
              <w:spacing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A44B0">
              <w:rPr>
                <w:rFonts w:ascii="Arial" w:hAnsi="Arial" w:cs="Arial"/>
                <w:color w:val="010000"/>
                <w:sz w:val="20"/>
              </w:rPr>
              <w:t xml:space="preserve">Profit after tax in Consolidated </w:t>
            </w:r>
            <w:bookmarkStart w:id="0" w:name="_GoBack"/>
            <w:bookmarkEnd w:id="0"/>
            <w:r w:rsidRPr="00AA44B0">
              <w:rPr>
                <w:rFonts w:ascii="Arial" w:hAnsi="Arial" w:cs="Arial"/>
                <w:color w:val="010000"/>
                <w:sz w:val="20"/>
              </w:rPr>
              <w:t>Financial Statements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CD88F" w14:textId="77777777" w:rsidR="00D64740" w:rsidRPr="00AA44B0" w:rsidRDefault="006D178C" w:rsidP="00FB4D10">
            <w:pPr>
              <w:pStyle w:val="Other0"/>
              <w:tabs>
                <w:tab w:val="left" w:pos="432"/>
              </w:tabs>
              <w:spacing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A44B0">
              <w:rPr>
                <w:rFonts w:ascii="Arial" w:hAnsi="Arial" w:cs="Arial"/>
                <w:color w:val="010000"/>
                <w:sz w:val="20"/>
              </w:rPr>
              <w:t>200,672,194,662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C9C15" w14:textId="77777777" w:rsidR="00D64740" w:rsidRPr="00AA44B0" w:rsidRDefault="006D178C" w:rsidP="00FB4D10">
            <w:pPr>
              <w:pStyle w:val="Other0"/>
              <w:tabs>
                <w:tab w:val="left" w:pos="432"/>
              </w:tabs>
              <w:spacing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A44B0">
              <w:rPr>
                <w:rFonts w:ascii="Arial" w:hAnsi="Arial" w:cs="Arial"/>
                <w:color w:val="010000"/>
                <w:sz w:val="20"/>
              </w:rPr>
              <w:t>161,790,597,979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CC7AD" w14:textId="77777777" w:rsidR="00D64740" w:rsidRPr="00AA44B0" w:rsidRDefault="006D178C" w:rsidP="00FB4D10">
            <w:pPr>
              <w:pStyle w:val="Other0"/>
              <w:tabs>
                <w:tab w:val="left" w:pos="432"/>
              </w:tabs>
              <w:spacing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A44B0">
              <w:rPr>
                <w:rFonts w:ascii="Arial" w:hAnsi="Arial" w:cs="Arial"/>
                <w:color w:val="010000"/>
                <w:sz w:val="20"/>
              </w:rPr>
              <w:t>38,881,596,683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2B89" w14:textId="77777777" w:rsidR="00D64740" w:rsidRPr="00AA44B0" w:rsidRDefault="006D178C" w:rsidP="00FB4D10">
            <w:pPr>
              <w:pStyle w:val="Other0"/>
              <w:tabs>
                <w:tab w:val="left" w:pos="432"/>
              </w:tabs>
              <w:spacing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AA44B0">
              <w:rPr>
                <w:rFonts w:ascii="Arial" w:hAnsi="Arial" w:cs="Arial"/>
                <w:color w:val="010000"/>
                <w:sz w:val="20"/>
              </w:rPr>
              <w:t>24%</w:t>
            </w:r>
          </w:p>
        </w:tc>
      </w:tr>
    </w:tbl>
    <w:p w14:paraId="150029FF" w14:textId="61F12D9E" w:rsidR="00D64740" w:rsidRPr="00AA44B0" w:rsidRDefault="006D178C" w:rsidP="00FB4D10">
      <w:pPr>
        <w:pStyle w:val="Tablecaption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AA44B0">
        <w:rPr>
          <w:rFonts w:ascii="Arial" w:hAnsi="Arial" w:cs="Arial"/>
          <w:color w:val="010000"/>
          <w:sz w:val="20"/>
        </w:rPr>
        <w:t>Explanation: In 2023, TOS's Profit After Tax on the Consolidated Financial Statements 2023 achieved better results than the same period last year for the following specific reasons:</w:t>
      </w:r>
    </w:p>
    <w:p w14:paraId="4257CDB0" w14:textId="343E15F2" w:rsidR="00D64740" w:rsidRPr="00AA44B0" w:rsidRDefault="006D178C" w:rsidP="00FB4D10">
      <w:pPr>
        <w:pStyle w:val="BodyText"/>
        <w:numPr>
          <w:ilvl w:val="0"/>
          <w:numId w:val="4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AA44B0">
        <w:rPr>
          <w:rFonts w:ascii="Arial" w:hAnsi="Arial" w:cs="Arial"/>
          <w:color w:val="010000"/>
          <w:sz w:val="20"/>
        </w:rPr>
        <w:t>The company deployed many domestic and regional offshore service provision contracts achieving a better gross profit rate compared to the same period in 2022;</w:t>
      </w:r>
    </w:p>
    <w:p w14:paraId="3D7ABFAA" w14:textId="49A05A07" w:rsidR="00D64740" w:rsidRPr="00AA44B0" w:rsidRDefault="006D178C" w:rsidP="00FB4D10">
      <w:pPr>
        <w:pStyle w:val="BodyText"/>
        <w:numPr>
          <w:ilvl w:val="0"/>
          <w:numId w:val="4"/>
        </w:numPr>
        <w:tabs>
          <w:tab w:val="left" w:pos="432"/>
        </w:tabs>
        <w:spacing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AA44B0">
        <w:rPr>
          <w:rFonts w:ascii="Arial" w:hAnsi="Arial" w:cs="Arial"/>
          <w:color w:val="010000"/>
          <w:sz w:val="20"/>
        </w:rPr>
        <w:t>Subsidiaries achieved better profits in main activities and exceeded the plans.</w:t>
      </w:r>
    </w:p>
    <w:sectPr w:rsidR="00D64740" w:rsidRPr="00AA44B0" w:rsidSect="00025684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FECF4" w14:textId="77777777" w:rsidR="00693069" w:rsidRDefault="00693069">
      <w:r>
        <w:separator/>
      </w:r>
    </w:p>
  </w:endnote>
  <w:endnote w:type="continuationSeparator" w:id="0">
    <w:p w14:paraId="766FD116" w14:textId="77777777" w:rsidR="00693069" w:rsidRDefault="0069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50672" w14:textId="77777777" w:rsidR="00693069" w:rsidRDefault="00693069"/>
  </w:footnote>
  <w:footnote w:type="continuationSeparator" w:id="0">
    <w:p w14:paraId="7A6ADF52" w14:textId="77777777" w:rsidR="00693069" w:rsidRDefault="00693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5C4"/>
    <w:multiLevelType w:val="multilevel"/>
    <w:tmpl w:val="A8BC9F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3215E"/>
    <w:multiLevelType w:val="multilevel"/>
    <w:tmpl w:val="B352F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B2EA8"/>
    <w:multiLevelType w:val="hybridMultilevel"/>
    <w:tmpl w:val="531A67E2"/>
    <w:lvl w:ilvl="0" w:tplc="C5747500">
      <w:start w:val="1"/>
      <w:numFmt w:val="bullet"/>
      <w:lvlText w:val="+"/>
      <w:lvlJc w:val="left"/>
      <w:pPr>
        <w:ind w:left="1040" w:hanging="360"/>
      </w:pPr>
      <w:rPr>
        <w:rFonts w:ascii="Arial" w:hAnsi="Arial" w:cs="Arial" w:hint="default"/>
        <w:b w:val="0"/>
        <w:i w:val="0"/>
        <w:sz w:val="20"/>
        <w:u w:val="none"/>
      </w:rPr>
    </w:lvl>
    <w:lvl w:ilvl="1" w:tplc="3160ACF6" w:tentative="1">
      <w:start w:val="1"/>
      <w:numFmt w:val="bullet"/>
      <w:lvlText w:val="o"/>
      <w:lvlJc w:val="left"/>
      <w:pPr>
        <w:ind w:left="1760" w:hanging="360"/>
      </w:pPr>
      <w:rPr>
        <w:rFonts w:ascii="Arial" w:hAnsi="Arial" w:cs="Arial" w:hint="default"/>
        <w:b w:val="0"/>
        <w:i w:val="0"/>
        <w:sz w:val="20"/>
      </w:rPr>
    </w:lvl>
    <w:lvl w:ilvl="2" w:tplc="C0E49BF0" w:tentative="1">
      <w:start w:val="1"/>
      <w:numFmt w:val="bullet"/>
      <w:lvlText w:val=""/>
      <w:lvlJc w:val="left"/>
      <w:pPr>
        <w:ind w:left="2480" w:hanging="360"/>
      </w:pPr>
      <w:rPr>
        <w:rFonts w:ascii="Arial" w:hAnsi="Arial" w:cs="Aria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63DA6CF6"/>
    <w:multiLevelType w:val="multilevel"/>
    <w:tmpl w:val="B0808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40"/>
    <w:rsid w:val="00025684"/>
    <w:rsid w:val="0025125B"/>
    <w:rsid w:val="004638A6"/>
    <w:rsid w:val="00693069"/>
    <w:rsid w:val="006D178C"/>
    <w:rsid w:val="00AA44B0"/>
    <w:rsid w:val="00BA32E9"/>
    <w:rsid w:val="00D64740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DC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20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spacing w:after="120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after="1010"/>
      <w:ind w:left="15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4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after="40" w:line="228" w:lineRule="auto"/>
    </w:pPr>
    <w:rPr>
      <w:rFonts w:ascii="Times New Roman" w:eastAsia="Times New Roman" w:hAnsi="Times New Roman" w:cs="Times New Roman"/>
      <w:color w:val="FF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20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spacing w:after="120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after="1010"/>
      <w:ind w:left="15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4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after="40" w:line="228" w:lineRule="auto"/>
    </w:pPr>
    <w:rPr>
      <w:rFonts w:ascii="Times New Roman" w:eastAsia="Times New Roman" w:hAnsi="Times New Roman" w:cs="Times New Roman"/>
      <w:color w:val="FF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</dc:creator>
  <cp:keywords/>
  <cp:lastModifiedBy>Tran Ha Anh</cp:lastModifiedBy>
  <cp:revision>6</cp:revision>
  <dcterms:created xsi:type="dcterms:W3CDTF">2024-03-25T07:31:00Z</dcterms:created>
  <dcterms:modified xsi:type="dcterms:W3CDTF">2024-03-26T04:30:00Z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c4dea1ee00f4293993f5a00cc54b12993deaa8a7c215e223ac715ba27ab50277</vt:lpwstr>
  </property>
</Properties>
</file>