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00D9D">
        <w:rPr>
          <w:rFonts w:ascii="Arial" w:hAnsi="Arial" w:cs="Arial"/>
          <w:b/>
          <w:color w:val="010000"/>
          <w:sz w:val="20"/>
        </w:rPr>
        <w:t>VAB: Information disclosure on Securities Registration Certificate</w:t>
      </w:r>
    </w:p>
    <w:p w14:paraId="00000002" w14:textId="3B00C8B3"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 xml:space="preserve">On March 20, 2024, Vietnam Securities Depository and Clearing Corporation announced </w:t>
      </w:r>
      <w:r w:rsidR="000850F1" w:rsidRPr="00500D9D">
        <w:rPr>
          <w:rFonts w:ascii="Arial" w:hAnsi="Arial" w:cs="Arial"/>
          <w:color w:val="010000"/>
          <w:sz w:val="20"/>
        </w:rPr>
        <w:t>Securities Registration Certificate</w:t>
      </w:r>
      <w:r w:rsidRPr="00500D9D">
        <w:rPr>
          <w:rFonts w:ascii="Arial" w:hAnsi="Arial" w:cs="Arial"/>
          <w:color w:val="010000"/>
          <w:sz w:val="20"/>
        </w:rPr>
        <w:t xml:space="preserve"> No. 90/2024/GCNTPRL-VSDC as follows:</w:t>
      </w:r>
    </w:p>
    <w:p w14:paraId="00000003" w14:textId="730B3F64"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Registration organization: Ngân hàng Thương mại cổ phần Việt Á</w:t>
      </w:r>
    </w:p>
    <w:p w14:paraId="00000004" w14:textId="7777777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English name: VietNam – Asia Commercial Joint Stock Bank</w:t>
      </w:r>
    </w:p>
    <w:p w14:paraId="00000005" w14:textId="7777777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Head office: 4th and 5th Floors, Samsora Premier Building, No. 105 Chu Van An Street, Yet Kieu Ward, Ha Dong District, Hanoi.</w:t>
      </w:r>
    </w:p>
    <w:p w14:paraId="00000006" w14:textId="09443FF3"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Phone number: (024)39333636 Fax: (024) 39336426.</w:t>
      </w:r>
    </w:p>
    <w:p w14:paraId="00000007" w14:textId="7777777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Charter capital: VND 5,399,600,430,000</w:t>
      </w:r>
    </w:p>
    <w:p w14:paraId="00000008" w14:textId="61D18C4E"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 xml:space="preserve">Business Registration Certificate for Joint Stock Company No. 4103001665 issued for the first time by the Department of Planning and Investment of Ho Chi Minh City on June 19, 2003, Business Registration Certificate for Joint Stock Company No. 0302963695 issued by the </w:t>
      </w:r>
      <w:r w:rsidR="00500D9D" w:rsidRPr="00500D9D">
        <w:rPr>
          <w:rFonts w:ascii="Arial" w:hAnsi="Arial" w:cs="Arial"/>
          <w:color w:val="010000"/>
          <w:sz w:val="20"/>
        </w:rPr>
        <w:t>Hanoi Authority for</w:t>
      </w:r>
      <w:r w:rsidRPr="00500D9D">
        <w:rPr>
          <w:rFonts w:ascii="Arial" w:hAnsi="Arial" w:cs="Arial"/>
          <w:color w:val="010000"/>
          <w:sz w:val="20"/>
        </w:rPr>
        <w:t xml:space="preserve"> Planning and Investment </w:t>
      </w:r>
      <w:r w:rsidR="00500D9D" w:rsidRPr="00500D9D">
        <w:rPr>
          <w:rFonts w:ascii="Arial" w:hAnsi="Arial" w:cs="Arial"/>
          <w:color w:val="010000"/>
          <w:sz w:val="20"/>
        </w:rPr>
        <w:t xml:space="preserve">for </w:t>
      </w:r>
      <w:r w:rsidRPr="00500D9D">
        <w:rPr>
          <w:rFonts w:ascii="Arial" w:hAnsi="Arial" w:cs="Arial"/>
          <w:color w:val="010000"/>
          <w:sz w:val="20"/>
        </w:rPr>
        <w:t>the 33rd time on May 17, 2023.</w:t>
      </w:r>
    </w:p>
    <w:p w14:paraId="00000009" w14:textId="7777777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Registered bonds and received bond codes at Vietnam Securities Depository and Clearing Corporation from March 20, 2024 as follows:</w:t>
      </w:r>
    </w:p>
    <w:p w14:paraId="0000000A"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Bond name: VietNam – Asia Commercial Joint Stock Bank bonds (VABCLH2330001)</w:t>
      </w:r>
    </w:p>
    <w:p w14:paraId="0000000B" w14:textId="77777777" w:rsidR="00C25129" w:rsidRPr="00500D9D" w:rsidRDefault="00B636C0" w:rsidP="000850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Bond type: Corporate bond</w:t>
      </w:r>
    </w:p>
    <w:p w14:paraId="0000000C" w14:textId="77777777" w:rsidR="00C25129" w:rsidRPr="00500D9D" w:rsidRDefault="00B636C0" w:rsidP="000850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Bond code: VAB12301</w:t>
      </w:r>
    </w:p>
    <w:p w14:paraId="0000000D" w14:textId="77777777" w:rsidR="00C25129" w:rsidRPr="00500D9D" w:rsidRDefault="00B636C0" w:rsidP="000850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ISIN code: VN0VAB123013</w:t>
      </w:r>
    </w:p>
    <w:p w14:paraId="0000000E" w14:textId="77777777" w:rsidR="00C25129" w:rsidRPr="00500D9D" w:rsidRDefault="00B636C0" w:rsidP="000850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Par value: VND 100,000,000</w:t>
      </w:r>
    </w:p>
    <w:p w14:paraId="0000000F"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Total amount of registered bonds: 5,000 bonds</w:t>
      </w:r>
    </w:p>
    <w:p w14:paraId="00000010"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Total value of registered bonds: VND 500,000,000,000</w:t>
      </w:r>
    </w:p>
    <w:p w14:paraId="00000011" w14:textId="24496A73"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Method of issuance: Private</w:t>
      </w:r>
      <w:r w:rsidR="00500D9D" w:rsidRPr="00500D9D">
        <w:rPr>
          <w:rFonts w:ascii="Arial" w:hAnsi="Arial" w:cs="Arial"/>
          <w:color w:val="010000"/>
          <w:sz w:val="20"/>
        </w:rPr>
        <w:t>ly placed</w:t>
      </w:r>
      <w:r w:rsidRPr="00500D9D">
        <w:rPr>
          <w:rFonts w:ascii="Arial" w:hAnsi="Arial" w:cs="Arial"/>
          <w:color w:val="010000"/>
          <w:sz w:val="20"/>
        </w:rPr>
        <w:t xml:space="preserve"> bonds</w:t>
      </w:r>
    </w:p>
    <w:p w14:paraId="00000012"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Bond term: 07 year</w:t>
      </w:r>
    </w:p>
    <w:p w14:paraId="00000013"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Issue date: December 27, 2023</w:t>
      </w:r>
    </w:p>
    <w:p w14:paraId="00000014"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Maturity date: December 27, 2023</w:t>
      </w:r>
    </w:p>
    <w:p w14:paraId="00000015"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Interest rate: 8.5% per year</w:t>
      </w:r>
    </w:p>
    <w:p w14:paraId="00000016"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Interest payment term: Every 12 months</w:t>
      </w:r>
    </w:p>
    <w:p w14:paraId="00000017"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Interest payment method: Bond interest is paid periodically every 12 months</w:t>
      </w:r>
    </w:p>
    <w:p w14:paraId="00000018" w14:textId="77777777" w:rsidR="00C25129" w:rsidRPr="00500D9D" w:rsidRDefault="00B636C0" w:rsidP="000850F1">
      <w:pPr>
        <w:numPr>
          <w:ilvl w:val="0"/>
          <w:numId w:val="1"/>
        </w:numPr>
        <w:pBdr>
          <w:top w:val="nil"/>
          <w:left w:val="nil"/>
          <w:bottom w:val="nil"/>
          <w:right w:val="nil"/>
          <w:between w:val="nil"/>
        </w:pBdr>
        <w:tabs>
          <w:tab w:val="left" w:pos="408"/>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t>Principal payment method: Bond principal is paid in one lump sum equal to the bond's par value on the maturity date, except the case that the bond is redeemed before maturity according to the bond’s terms and conditions.</w:t>
      </w:r>
    </w:p>
    <w:p w14:paraId="00000019" w14:textId="328F21BE" w:rsidR="00C25129" w:rsidRPr="00500D9D" w:rsidRDefault="00B636C0" w:rsidP="000850F1">
      <w:pPr>
        <w:numPr>
          <w:ilvl w:val="0"/>
          <w:numId w:val="1"/>
        </w:numPr>
        <w:pBdr>
          <w:top w:val="nil"/>
          <w:left w:val="nil"/>
          <w:bottom w:val="nil"/>
          <w:right w:val="nil"/>
          <w:between w:val="nil"/>
        </w:pBdr>
        <w:tabs>
          <w:tab w:val="left" w:pos="340"/>
          <w:tab w:val="left" w:pos="432"/>
        </w:tabs>
        <w:spacing w:after="120" w:line="360" w:lineRule="auto"/>
        <w:ind w:left="0" w:firstLine="0"/>
        <w:rPr>
          <w:rFonts w:ascii="Arial" w:eastAsia="Arial" w:hAnsi="Arial" w:cs="Arial"/>
          <w:color w:val="010000"/>
          <w:sz w:val="20"/>
          <w:szCs w:val="20"/>
        </w:rPr>
      </w:pPr>
      <w:r w:rsidRPr="00500D9D">
        <w:rPr>
          <w:rFonts w:ascii="Arial" w:hAnsi="Arial" w:cs="Arial"/>
          <w:color w:val="010000"/>
          <w:sz w:val="20"/>
        </w:rPr>
        <w:lastRenderedPageBreak/>
        <w:t xml:space="preserve">Registration form: </w:t>
      </w:r>
      <w:r w:rsidR="00500D9D" w:rsidRPr="00500D9D">
        <w:rPr>
          <w:rFonts w:ascii="Arial" w:hAnsi="Arial" w:cs="Arial"/>
          <w:color w:val="010000"/>
          <w:sz w:val="20"/>
        </w:rPr>
        <w:t xml:space="preserve">Book </w:t>
      </w:r>
      <w:r w:rsidRPr="00500D9D">
        <w:rPr>
          <w:rFonts w:ascii="Arial" w:hAnsi="Arial" w:cs="Arial"/>
          <w:color w:val="010000"/>
          <w:sz w:val="20"/>
        </w:rPr>
        <w:t>Record</w:t>
      </w:r>
    </w:p>
    <w:p w14:paraId="0000001A" w14:textId="746691D7" w:rsidR="00C25129" w:rsidRPr="00500D9D" w:rsidRDefault="00B636C0" w:rsidP="000850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D9D">
        <w:rPr>
          <w:rFonts w:ascii="Arial" w:hAnsi="Arial" w:cs="Arial"/>
          <w:color w:val="010000"/>
          <w:sz w:val="20"/>
        </w:rPr>
        <w:t xml:space="preserve">The Company is responsible for complying with regulations related to securities, securities market and regulations of the </w:t>
      </w:r>
      <w:r w:rsidR="00500D9D" w:rsidRPr="00500D9D">
        <w:rPr>
          <w:rFonts w:ascii="Arial" w:hAnsi="Arial" w:cs="Arial"/>
          <w:color w:val="010000"/>
          <w:sz w:val="20"/>
        </w:rPr>
        <w:t>Vietnam Securities Depository and Clearing Corporation</w:t>
      </w:r>
      <w:r w:rsidRPr="00500D9D">
        <w:rPr>
          <w:rFonts w:ascii="Arial" w:hAnsi="Arial" w:cs="Arial"/>
          <w:color w:val="010000"/>
          <w:sz w:val="20"/>
        </w:rPr>
        <w:t>.</w:t>
      </w:r>
    </w:p>
    <w:sectPr w:rsidR="00C25129" w:rsidRPr="00500D9D" w:rsidSect="000850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514B"/>
    <w:multiLevelType w:val="multilevel"/>
    <w:tmpl w:val="CD769E4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29"/>
    <w:rsid w:val="000850F1"/>
    <w:rsid w:val="00500D9D"/>
    <w:rsid w:val="00B636C0"/>
    <w:rsid w:val="00C251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F73EB"/>
  <w15:docId w15:val="{61B939BB-FF99-49A5-9DE4-2D1188D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0" w:lineRule="auto"/>
    </w:pPr>
    <w:rPr>
      <w:rFonts w:ascii="Times New Roman" w:eastAsia="Times New Roman" w:hAnsi="Times New Roman" w:cs="Times New Roman"/>
    </w:rPr>
  </w:style>
  <w:style w:type="paragraph" w:customStyle="1" w:styleId="Heading11">
    <w:name w:val="Heading #1"/>
    <w:basedOn w:val="Normal"/>
    <w:link w:val="Heading10"/>
    <w:pPr>
      <w:spacing w:after="340"/>
      <w:ind w:firstLine="940"/>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1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No1DC9202SEOri9oiOqA5rlL6w==">CgMxLjA4AHIhMUtNSGhfeVhPdThQdGNxUWtoSy1CT2t4X0k2Q1d5Zmpm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1701</Characters>
  <Application>Microsoft Office Word</Application>
  <DocSecurity>0</DocSecurity>
  <Lines>35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2024-03-25T07:42:00Z</dcterms:created>
  <dcterms:modified xsi:type="dcterms:W3CDTF">2024-03-26T02:25:00Z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17341aaa554dd01ff89b68a34371c88f62c06657bbedd3af37320b62c4215db8</vt:lpwstr>
  </property>
</Properties>
</file>