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6216B" w:rsidRPr="004D3C10" w:rsidRDefault="001940D1" w:rsidP="002B5959">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4D3C10">
        <w:rPr>
          <w:rFonts w:ascii="Arial" w:hAnsi="Arial" w:cs="Arial"/>
          <w:b/>
          <w:bCs/>
          <w:color w:val="010000"/>
          <w:sz w:val="20"/>
        </w:rPr>
        <w:t>BT1:</w:t>
      </w:r>
      <w:r w:rsidRPr="004D3C10">
        <w:rPr>
          <w:rFonts w:ascii="Arial" w:hAnsi="Arial" w:cs="Arial"/>
          <w:b/>
          <w:color w:val="010000"/>
          <w:sz w:val="20"/>
        </w:rPr>
        <w:t xml:space="preserve"> Board Resolution</w:t>
      </w:r>
    </w:p>
    <w:p w14:paraId="00000002" w14:textId="77777777" w:rsidR="00F6216B" w:rsidRPr="004D3C10" w:rsidRDefault="001940D1" w:rsidP="002B59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3C10">
        <w:rPr>
          <w:rFonts w:ascii="Arial" w:hAnsi="Arial" w:cs="Arial"/>
          <w:color w:val="010000"/>
          <w:sz w:val="20"/>
        </w:rPr>
        <w:t>On March 22, 2024, Central Plant Protection Joint Stock Company No.1 announced Resolution No. 01/BVTV.1-HDQT/NKIV on approving transactions with related parties as follows:</w:t>
      </w:r>
    </w:p>
    <w:p w14:paraId="00000003" w14:textId="77777777" w:rsidR="00F6216B" w:rsidRPr="004D3C10" w:rsidRDefault="001940D1" w:rsidP="002B59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3C10">
        <w:rPr>
          <w:rFonts w:ascii="Arial" w:hAnsi="Arial" w:cs="Arial"/>
          <w:color w:val="010000"/>
          <w:sz w:val="20"/>
        </w:rPr>
        <w:t>Article 1: The Board of Directors of Central Plant Protection Joint Stock Company approves the policy and implementation of transactions between the Company and related parties in 2024 with the value of the transactions less than 35% of total Company assets calculated according to the Audited Financial statements 2023, specifically as follows:</w:t>
      </w:r>
    </w:p>
    <w:p w14:paraId="00000004" w14:textId="77777777" w:rsidR="00F6216B" w:rsidRPr="004D3C10" w:rsidRDefault="001940D1" w:rsidP="002B5959">
      <w:pPr>
        <w:numPr>
          <w:ilvl w:val="0"/>
          <w:numId w:val="2"/>
        </w:numPr>
        <w:pBdr>
          <w:top w:val="nil"/>
          <w:left w:val="nil"/>
          <w:bottom w:val="nil"/>
          <w:right w:val="nil"/>
          <w:between w:val="nil"/>
        </w:pBdr>
        <w:tabs>
          <w:tab w:val="left" w:pos="432"/>
          <w:tab w:val="left" w:pos="1224"/>
        </w:tabs>
        <w:spacing w:after="120" w:line="360" w:lineRule="auto"/>
        <w:jc w:val="both"/>
        <w:rPr>
          <w:rFonts w:ascii="Arial" w:eastAsia="Arial" w:hAnsi="Arial" w:cs="Arial"/>
          <w:color w:val="010000"/>
          <w:sz w:val="20"/>
          <w:szCs w:val="20"/>
        </w:rPr>
      </w:pPr>
      <w:r w:rsidRPr="004D3C10">
        <w:rPr>
          <w:rFonts w:ascii="Arial" w:hAnsi="Arial" w:cs="Arial"/>
          <w:color w:val="010000"/>
          <w:sz w:val="20"/>
        </w:rPr>
        <w:t>Subjects of contract:</w:t>
      </w:r>
    </w:p>
    <w:p w14:paraId="00000005" w14:textId="77777777" w:rsidR="00F6216B" w:rsidRPr="004D3C10" w:rsidRDefault="001940D1" w:rsidP="002B5959">
      <w:pPr>
        <w:numPr>
          <w:ilvl w:val="0"/>
          <w:numId w:val="1"/>
        </w:numPr>
        <w:pBdr>
          <w:top w:val="nil"/>
          <w:left w:val="nil"/>
          <w:bottom w:val="nil"/>
          <w:right w:val="nil"/>
          <w:between w:val="nil"/>
        </w:pBdr>
        <w:tabs>
          <w:tab w:val="left" w:pos="432"/>
          <w:tab w:val="left" w:pos="1158"/>
        </w:tabs>
        <w:spacing w:after="120" w:line="360" w:lineRule="auto"/>
        <w:jc w:val="both"/>
        <w:rPr>
          <w:rFonts w:ascii="Arial" w:eastAsia="Arial" w:hAnsi="Arial" w:cs="Arial"/>
          <w:color w:val="010000"/>
          <w:sz w:val="20"/>
          <w:szCs w:val="20"/>
        </w:rPr>
      </w:pPr>
      <w:r w:rsidRPr="004D3C10">
        <w:rPr>
          <w:rFonts w:ascii="Arial" w:hAnsi="Arial" w:cs="Arial"/>
          <w:color w:val="010000"/>
          <w:sz w:val="20"/>
        </w:rPr>
        <w:t>Members of the Board of Directors, Supervisory Board, Board of Management and PDMRs;</w:t>
      </w:r>
    </w:p>
    <w:p w14:paraId="00000006" w14:textId="77777777" w:rsidR="00F6216B" w:rsidRPr="004D3C10" w:rsidRDefault="001940D1" w:rsidP="002B5959">
      <w:pPr>
        <w:numPr>
          <w:ilvl w:val="0"/>
          <w:numId w:val="1"/>
        </w:numPr>
        <w:pBdr>
          <w:top w:val="nil"/>
          <w:left w:val="nil"/>
          <w:bottom w:val="nil"/>
          <w:right w:val="nil"/>
          <w:between w:val="nil"/>
        </w:pBdr>
        <w:tabs>
          <w:tab w:val="left" w:pos="432"/>
          <w:tab w:val="left" w:pos="1157"/>
        </w:tabs>
        <w:spacing w:after="120" w:line="360" w:lineRule="auto"/>
        <w:jc w:val="both"/>
        <w:rPr>
          <w:rFonts w:ascii="Arial" w:eastAsia="Arial" w:hAnsi="Arial" w:cs="Arial"/>
          <w:color w:val="010000"/>
          <w:sz w:val="20"/>
          <w:szCs w:val="20"/>
        </w:rPr>
      </w:pPr>
      <w:r w:rsidRPr="004D3C10">
        <w:rPr>
          <w:rFonts w:ascii="Arial" w:hAnsi="Arial" w:cs="Arial"/>
          <w:color w:val="010000"/>
          <w:sz w:val="20"/>
        </w:rPr>
        <w:t>Organizations and individuals related to PDMRs;</w:t>
      </w:r>
    </w:p>
    <w:p w14:paraId="00000007" w14:textId="77777777" w:rsidR="00F6216B" w:rsidRPr="004D3C10" w:rsidRDefault="001940D1" w:rsidP="002B5959">
      <w:pPr>
        <w:numPr>
          <w:ilvl w:val="0"/>
          <w:numId w:val="1"/>
        </w:numPr>
        <w:pBdr>
          <w:top w:val="nil"/>
          <w:left w:val="nil"/>
          <w:bottom w:val="nil"/>
          <w:right w:val="nil"/>
          <w:between w:val="nil"/>
        </w:pBdr>
        <w:tabs>
          <w:tab w:val="left" w:pos="432"/>
          <w:tab w:val="left" w:pos="1157"/>
        </w:tabs>
        <w:spacing w:after="120" w:line="360" w:lineRule="auto"/>
        <w:jc w:val="both"/>
        <w:rPr>
          <w:rFonts w:ascii="Arial" w:eastAsia="Arial" w:hAnsi="Arial" w:cs="Arial"/>
          <w:color w:val="010000"/>
          <w:sz w:val="20"/>
          <w:szCs w:val="20"/>
        </w:rPr>
      </w:pPr>
      <w:r w:rsidRPr="004D3C10">
        <w:rPr>
          <w:rFonts w:ascii="Arial" w:hAnsi="Arial" w:cs="Arial"/>
          <w:color w:val="010000"/>
          <w:sz w:val="20"/>
        </w:rPr>
        <w:t>Major shareholders.</w:t>
      </w:r>
    </w:p>
    <w:p w14:paraId="00000008" w14:textId="78324495" w:rsidR="00F6216B" w:rsidRPr="004D3C10" w:rsidRDefault="001940D1" w:rsidP="002B5959">
      <w:pPr>
        <w:numPr>
          <w:ilvl w:val="0"/>
          <w:numId w:val="2"/>
        </w:numPr>
        <w:pBdr>
          <w:top w:val="nil"/>
          <w:left w:val="nil"/>
          <w:bottom w:val="nil"/>
          <w:right w:val="nil"/>
          <w:between w:val="nil"/>
        </w:pBdr>
        <w:tabs>
          <w:tab w:val="left" w:pos="432"/>
          <w:tab w:val="left" w:pos="1262"/>
        </w:tabs>
        <w:spacing w:after="120" w:line="360" w:lineRule="auto"/>
        <w:jc w:val="both"/>
        <w:rPr>
          <w:rFonts w:ascii="Arial" w:eastAsia="Arial" w:hAnsi="Arial" w:cs="Arial"/>
          <w:color w:val="010000"/>
          <w:sz w:val="20"/>
          <w:szCs w:val="20"/>
        </w:rPr>
      </w:pPr>
      <w:r w:rsidRPr="004D3C10">
        <w:rPr>
          <w:rFonts w:ascii="Arial" w:hAnsi="Arial" w:cs="Arial"/>
          <w:color w:val="010000"/>
          <w:sz w:val="20"/>
        </w:rPr>
        <w:t>Transaction</w:t>
      </w:r>
      <w:r w:rsidR="004D3C10" w:rsidRPr="004D3C10">
        <w:rPr>
          <w:rFonts w:ascii="Arial" w:hAnsi="Arial" w:cs="Arial"/>
          <w:color w:val="010000"/>
          <w:sz w:val="20"/>
        </w:rPr>
        <w:t>s</w:t>
      </w:r>
      <w:r w:rsidRPr="004D3C10">
        <w:rPr>
          <w:rFonts w:ascii="Arial" w:hAnsi="Arial" w:cs="Arial"/>
          <w:color w:val="010000"/>
          <w:sz w:val="20"/>
        </w:rPr>
        <w:t xml:space="preserve"> :</w:t>
      </w:r>
    </w:p>
    <w:p w14:paraId="00000009" w14:textId="77777777" w:rsidR="00F6216B" w:rsidRPr="004D3C10" w:rsidRDefault="001940D1" w:rsidP="002B5959">
      <w:pPr>
        <w:numPr>
          <w:ilvl w:val="0"/>
          <w:numId w:val="1"/>
        </w:numPr>
        <w:pBdr>
          <w:top w:val="nil"/>
          <w:left w:val="nil"/>
          <w:bottom w:val="nil"/>
          <w:right w:val="nil"/>
          <w:between w:val="nil"/>
        </w:pBdr>
        <w:tabs>
          <w:tab w:val="left" w:pos="432"/>
          <w:tab w:val="left" w:pos="1157"/>
        </w:tabs>
        <w:spacing w:after="120" w:line="360" w:lineRule="auto"/>
        <w:jc w:val="both"/>
        <w:rPr>
          <w:rFonts w:ascii="Arial" w:eastAsia="Arial" w:hAnsi="Arial" w:cs="Arial"/>
          <w:color w:val="010000"/>
          <w:sz w:val="20"/>
          <w:szCs w:val="20"/>
        </w:rPr>
      </w:pPr>
      <w:r w:rsidRPr="004D3C10">
        <w:rPr>
          <w:rFonts w:ascii="Arial" w:hAnsi="Arial" w:cs="Arial"/>
          <w:color w:val="010000"/>
          <w:sz w:val="20"/>
        </w:rPr>
        <w:t>Transactions for the purchase and sales of goods, services and assets;</w:t>
      </w:r>
    </w:p>
    <w:p w14:paraId="0000000A" w14:textId="77777777" w:rsidR="00F6216B" w:rsidRPr="004D3C10" w:rsidRDefault="001940D1" w:rsidP="002B5959">
      <w:pPr>
        <w:numPr>
          <w:ilvl w:val="0"/>
          <w:numId w:val="1"/>
        </w:numPr>
        <w:pBdr>
          <w:top w:val="nil"/>
          <w:left w:val="nil"/>
          <w:bottom w:val="nil"/>
          <w:right w:val="nil"/>
          <w:between w:val="nil"/>
        </w:pBdr>
        <w:tabs>
          <w:tab w:val="left" w:pos="432"/>
          <w:tab w:val="left" w:pos="1157"/>
        </w:tabs>
        <w:spacing w:after="120" w:line="360" w:lineRule="auto"/>
        <w:jc w:val="both"/>
        <w:rPr>
          <w:rFonts w:ascii="Arial" w:eastAsia="Arial" w:hAnsi="Arial" w:cs="Arial"/>
          <w:color w:val="010000"/>
          <w:sz w:val="20"/>
          <w:szCs w:val="20"/>
        </w:rPr>
      </w:pPr>
      <w:r w:rsidRPr="004D3C10">
        <w:rPr>
          <w:rFonts w:ascii="Arial" w:hAnsi="Arial" w:cs="Arial"/>
          <w:color w:val="010000"/>
          <w:sz w:val="20"/>
        </w:rPr>
        <w:t>Transactions and contracts for the purchase and sales of securities and shares;</w:t>
      </w:r>
    </w:p>
    <w:p w14:paraId="0000000B" w14:textId="77777777" w:rsidR="00F6216B" w:rsidRPr="004D3C10" w:rsidRDefault="001940D1" w:rsidP="002B5959">
      <w:pPr>
        <w:numPr>
          <w:ilvl w:val="0"/>
          <w:numId w:val="1"/>
        </w:numPr>
        <w:pBdr>
          <w:top w:val="nil"/>
          <w:left w:val="nil"/>
          <w:bottom w:val="nil"/>
          <w:right w:val="nil"/>
          <w:between w:val="nil"/>
        </w:pBdr>
        <w:tabs>
          <w:tab w:val="left" w:pos="432"/>
          <w:tab w:val="left" w:pos="1157"/>
        </w:tabs>
        <w:spacing w:after="120" w:line="360" w:lineRule="auto"/>
        <w:jc w:val="both"/>
        <w:rPr>
          <w:rFonts w:ascii="Arial" w:eastAsia="Arial" w:hAnsi="Arial" w:cs="Arial"/>
          <w:color w:val="010000"/>
          <w:sz w:val="20"/>
          <w:szCs w:val="20"/>
        </w:rPr>
      </w:pPr>
      <w:r w:rsidRPr="004D3C10">
        <w:rPr>
          <w:rFonts w:ascii="Arial" w:hAnsi="Arial" w:cs="Arial"/>
          <w:color w:val="010000"/>
          <w:sz w:val="20"/>
        </w:rPr>
        <w:t>Transactions and contracts for borrowing and lending;</w:t>
      </w:r>
    </w:p>
    <w:p w14:paraId="0000000C" w14:textId="77777777" w:rsidR="00F6216B" w:rsidRPr="004D3C10" w:rsidRDefault="001940D1" w:rsidP="002B5959">
      <w:pPr>
        <w:numPr>
          <w:ilvl w:val="0"/>
          <w:numId w:val="1"/>
        </w:numPr>
        <w:pBdr>
          <w:top w:val="nil"/>
          <w:left w:val="nil"/>
          <w:bottom w:val="nil"/>
          <w:right w:val="nil"/>
          <w:between w:val="nil"/>
        </w:pBdr>
        <w:tabs>
          <w:tab w:val="left" w:pos="432"/>
          <w:tab w:val="left" w:pos="1157"/>
        </w:tabs>
        <w:spacing w:after="120" w:line="360" w:lineRule="auto"/>
        <w:jc w:val="both"/>
        <w:rPr>
          <w:rFonts w:ascii="Arial" w:eastAsia="Arial" w:hAnsi="Arial" w:cs="Arial"/>
          <w:color w:val="010000"/>
          <w:sz w:val="20"/>
          <w:szCs w:val="20"/>
        </w:rPr>
      </w:pPr>
      <w:r w:rsidRPr="004D3C10">
        <w:rPr>
          <w:rFonts w:ascii="Arial" w:hAnsi="Arial" w:cs="Arial"/>
          <w:color w:val="010000"/>
          <w:sz w:val="20"/>
        </w:rPr>
        <w:t>Other transactions and contracts related to the Company’s activities.</w:t>
      </w:r>
    </w:p>
    <w:p w14:paraId="0000000D" w14:textId="1513BCE2" w:rsidR="00F6216B" w:rsidRPr="004D3C10" w:rsidRDefault="001940D1" w:rsidP="002B59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3C10">
        <w:rPr>
          <w:rFonts w:ascii="Arial" w:hAnsi="Arial" w:cs="Arial"/>
          <w:color w:val="010000"/>
          <w:sz w:val="20"/>
        </w:rPr>
        <w:t xml:space="preserve">Article 2: The Board of Directors assigns the General Manager to negotiate, sign, and perform contracts and transactions with related parties </w:t>
      </w:r>
      <w:r w:rsidR="002B5959">
        <w:rPr>
          <w:rFonts w:ascii="Arial" w:hAnsi="Arial" w:cs="Arial"/>
          <w:color w:val="010000"/>
          <w:sz w:val="20"/>
        </w:rPr>
        <w:t>following</w:t>
      </w:r>
      <w:r w:rsidRPr="004D3C10">
        <w:rPr>
          <w:rFonts w:ascii="Arial" w:hAnsi="Arial" w:cs="Arial"/>
          <w:color w:val="010000"/>
          <w:sz w:val="20"/>
        </w:rPr>
        <w:t xml:space="preserve"> the law, based on the principle of equality, </w:t>
      </w:r>
      <w:r w:rsidR="002B5959">
        <w:rPr>
          <w:rFonts w:ascii="Arial" w:hAnsi="Arial" w:cs="Arial"/>
          <w:color w:val="010000"/>
          <w:sz w:val="20"/>
        </w:rPr>
        <w:t xml:space="preserve">and </w:t>
      </w:r>
      <w:r w:rsidRPr="004D3C10">
        <w:rPr>
          <w:rFonts w:ascii="Arial" w:hAnsi="Arial" w:cs="Arial"/>
          <w:color w:val="010000"/>
          <w:sz w:val="20"/>
        </w:rPr>
        <w:t xml:space="preserve">voluntariness as well as ensuring the interests of the Company and its shareholders. The General Manager is responsible for reporting to the Board of Directors on these transactions </w:t>
      </w:r>
      <w:r w:rsidR="002B5959">
        <w:rPr>
          <w:rFonts w:ascii="Arial" w:hAnsi="Arial" w:cs="Arial"/>
          <w:color w:val="010000"/>
          <w:sz w:val="20"/>
        </w:rPr>
        <w:t>following</w:t>
      </w:r>
      <w:bookmarkStart w:id="1" w:name="_GoBack"/>
      <w:bookmarkEnd w:id="1"/>
      <w:r w:rsidRPr="004D3C10">
        <w:rPr>
          <w:rFonts w:ascii="Arial" w:hAnsi="Arial" w:cs="Arial"/>
          <w:color w:val="010000"/>
          <w:sz w:val="20"/>
        </w:rPr>
        <w:t xml:space="preserve"> the law.</w:t>
      </w:r>
    </w:p>
    <w:p w14:paraId="0000000E" w14:textId="77777777" w:rsidR="00F6216B" w:rsidRPr="004D3C10" w:rsidRDefault="001940D1" w:rsidP="002B59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3C10">
        <w:rPr>
          <w:rFonts w:ascii="Arial" w:hAnsi="Arial" w:cs="Arial"/>
          <w:color w:val="010000"/>
          <w:sz w:val="20"/>
        </w:rPr>
        <w:t>Article 3: Members of the Board of Directors, the Board of Management, other units of the Company, and relevant individuals are responsible for implementing this Resolution.</w:t>
      </w:r>
    </w:p>
    <w:p w14:paraId="0000000F" w14:textId="77777777" w:rsidR="00F6216B" w:rsidRPr="004D3C10" w:rsidRDefault="001940D1" w:rsidP="002B59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3C10">
        <w:rPr>
          <w:rFonts w:ascii="Arial" w:hAnsi="Arial" w:cs="Arial"/>
          <w:color w:val="010000"/>
          <w:sz w:val="20"/>
        </w:rPr>
        <w:t>This Resolution takes effect from the date of its signing.</w:t>
      </w:r>
    </w:p>
    <w:sectPr w:rsidR="00F6216B" w:rsidRPr="004D3C10" w:rsidSect="00613B5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B1620"/>
    <w:multiLevelType w:val="multilevel"/>
    <w:tmpl w:val="FCAA9C1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0262DE9"/>
    <w:multiLevelType w:val="multilevel"/>
    <w:tmpl w:val="D98EA3A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6B"/>
    <w:rsid w:val="001940D1"/>
    <w:rsid w:val="002B5959"/>
    <w:rsid w:val="004807FC"/>
    <w:rsid w:val="004D3C10"/>
    <w:rsid w:val="00532756"/>
    <w:rsid w:val="00613B5D"/>
    <w:rsid w:val="00DF1690"/>
    <w:rsid w:val="00F6216B"/>
    <w:rsid w:val="00FB118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DD7FB"/>
  <w15:docId w15:val="{6E47B3AF-17FF-4D80-A7A3-2D3E5D04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b/>
      <w:bCs/>
      <w:sz w:val="22"/>
      <w:szCs w:val="22"/>
    </w:rPr>
  </w:style>
  <w:style w:type="paragraph" w:styleId="BodyText">
    <w:name w:val="Body Text"/>
    <w:basedOn w:val="Normal"/>
    <w:link w:val="BodyTextChar"/>
    <w:qFormat/>
    <w:pPr>
      <w:spacing w:line="254"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Heading21">
    <w:name w:val="Heading #2"/>
    <w:basedOn w:val="Normal"/>
    <w:link w:val="Heading20"/>
    <w:pPr>
      <w:spacing w:line="254" w:lineRule="auto"/>
      <w:ind w:left="810"/>
      <w:jc w:val="center"/>
      <w:outlineLvl w:val="1"/>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807FC"/>
    <w:rPr>
      <w:sz w:val="16"/>
      <w:szCs w:val="16"/>
    </w:rPr>
  </w:style>
  <w:style w:type="paragraph" w:styleId="CommentText">
    <w:name w:val="annotation text"/>
    <w:basedOn w:val="Normal"/>
    <w:link w:val="CommentTextChar"/>
    <w:uiPriority w:val="99"/>
    <w:semiHidden/>
    <w:unhideWhenUsed/>
    <w:rsid w:val="004807FC"/>
    <w:rPr>
      <w:sz w:val="20"/>
      <w:szCs w:val="20"/>
    </w:rPr>
  </w:style>
  <w:style w:type="character" w:customStyle="1" w:styleId="CommentTextChar">
    <w:name w:val="Comment Text Char"/>
    <w:basedOn w:val="DefaultParagraphFont"/>
    <w:link w:val="CommentText"/>
    <w:uiPriority w:val="99"/>
    <w:semiHidden/>
    <w:rsid w:val="004807FC"/>
    <w:rPr>
      <w:color w:val="000000"/>
      <w:sz w:val="20"/>
      <w:szCs w:val="20"/>
    </w:rPr>
  </w:style>
  <w:style w:type="paragraph" w:styleId="CommentSubject">
    <w:name w:val="annotation subject"/>
    <w:basedOn w:val="CommentText"/>
    <w:next w:val="CommentText"/>
    <w:link w:val="CommentSubjectChar"/>
    <w:uiPriority w:val="99"/>
    <w:semiHidden/>
    <w:unhideWhenUsed/>
    <w:rsid w:val="004807FC"/>
    <w:rPr>
      <w:b/>
      <w:bCs/>
    </w:rPr>
  </w:style>
  <w:style w:type="character" w:customStyle="1" w:styleId="CommentSubjectChar">
    <w:name w:val="Comment Subject Char"/>
    <w:basedOn w:val="CommentTextChar"/>
    <w:link w:val="CommentSubject"/>
    <w:uiPriority w:val="99"/>
    <w:semiHidden/>
    <w:rsid w:val="004807FC"/>
    <w:rPr>
      <w:b/>
      <w:bCs/>
      <w:color w:val="000000"/>
      <w:sz w:val="20"/>
      <w:szCs w:val="20"/>
    </w:rPr>
  </w:style>
  <w:style w:type="paragraph" w:styleId="Revision">
    <w:name w:val="Revision"/>
    <w:hidden/>
    <w:uiPriority w:val="99"/>
    <w:semiHidden/>
    <w:rsid w:val="004D3C10"/>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CmrXH/57gYa3fb34WJBZKkq/g==">CgMxLjAyCGguZ2pkZ3hzOAByITFob0xNLXI5a3dKcDJRelVaQllFOWNLbV9xd2NZNFlrOQ==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250</Words>
  <Characters>1411</Characters>
  <Application>Microsoft Office Word</Application>
  <DocSecurity>0</DocSecurity>
  <Lines>23</Lines>
  <Paragraphs>15</Paragraphs>
  <ScaleCrop>false</ScaleCrop>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2024-03-26T04:14:00Z</dcterms:created>
  <dcterms:modified xsi:type="dcterms:W3CDTF">2024-03-27T07:03:00Z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1faefb6c7d2c349fce7abdbd784085cc24abb78fddb89e4d5338f4c2c563a007</vt:lpwstr>
  </property>
</Properties>
</file>