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E286" w14:textId="77777777" w:rsidR="00975A53" w:rsidRPr="00D607A0" w:rsidRDefault="00975A53" w:rsidP="00975A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D607A0">
        <w:rPr>
          <w:rFonts w:ascii="Arial" w:hAnsi="Arial" w:cs="Arial"/>
          <w:b/>
          <w:color w:val="010000"/>
          <w:sz w:val="20"/>
        </w:rPr>
        <w:t>CEO: Explanation on business result fluctuation</w:t>
      </w:r>
    </w:p>
    <w:p w14:paraId="36A8E90E" w14:textId="45104DAC" w:rsidR="00665B80" w:rsidRPr="00D607A0" w:rsidRDefault="00975A53" w:rsidP="00C730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7A0">
        <w:rPr>
          <w:rFonts w:ascii="Arial" w:hAnsi="Arial" w:cs="Arial"/>
          <w:color w:val="010000"/>
          <w:sz w:val="20"/>
        </w:rPr>
        <w:t xml:space="preserve">On March 15, 2024, C.E.O Group Joint Stock Company announced Official Dispatch No. 28-3/2024/CV/CEO-KETOAN on the explanation of business result fluctuations on audited separate </w:t>
      </w:r>
      <w:r w:rsidR="00D607A0" w:rsidRPr="00D607A0">
        <w:rPr>
          <w:rFonts w:ascii="Arial" w:hAnsi="Arial" w:cs="Arial"/>
          <w:color w:val="010000"/>
          <w:sz w:val="20"/>
        </w:rPr>
        <w:t>Financial Statements 20</w:t>
      </w:r>
      <w:r w:rsidRPr="00D607A0">
        <w:rPr>
          <w:rFonts w:ascii="Arial" w:hAnsi="Arial" w:cs="Arial"/>
          <w:color w:val="010000"/>
          <w:sz w:val="20"/>
        </w:rPr>
        <w:t>23 as follows:</w:t>
      </w:r>
    </w:p>
    <w:p w14:paraId="09019C6D" w14:textId="7F6B2F8D" w:rsidR="00665B80" w:rsidRPr="00D607A0" w:rsidRDefault="00975A53" w:rsidP="00C73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7A0">
        <w:rPr>
          <w:rFonts w:ascii="Arial" w:hAnsi="Arial" w:cs="Arial"/>
          <w:color w:val="010000"/>
          <w:sz w:val="20"/>
        </w:rPr>
        <w:t xml:space="preserve">Contents: Profit after tax in 2023 on the Holding Company's </w:t>
      </w:r>
      <w:r w:rsidR="00D607A0" w:rsidRPr="00D607A0">
        <w:rPr>
          <w:rFonts w:ascii="Arial" w:hAnsi="Arial" w:cs="Arial"/>
          <w:color w:val="010000"/>
          <w:sz w:val="20"/>
        </w:rPr>
        <w:t>Financial Statements</w:t>
      </w:r>
      <w:r w:rsidRPr="00D607A0">
        <w:rPr>
          <w:rFonts w:ascii="Arial" w:hAnsi="Arial" w:cs="Arial"/>
          <w:color w:val="010000"/>
          <w:sz w:val="20"/>
        </w:rPr>
        <w:t xml:space="preserve"> decreased by VND 165,603 million compared to 2022, specifically as follows:</w:t>
      </w:r>
    </w:p>
    <w:p w14:paraId="1DDAA903" w14:textId="77777777" w:rsidR="00665B80" w:rsidRPr="00D607A0" w:rsidRDefault="00975A53" w:rsidP="00975A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07A0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246"/>
        <w:gridCol w:w="1429"/>
        <w:gridCol w:w="1448"/>
        <w:gridCol w:w="1448"/>
        <w:gridCol w:w="1448"/>
      </w:tblGrid>
      <w:tr w:rsidR="00665B80" w:rsidRPr="00D607A0" w14:paraId="7B6977A7" w14:textId="77777777" w:rsidTr="00975A53"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2A065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202765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42C53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55CD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665B80" w:rsidRPr="00D607A0" w14:paraId="7213D404" w14:textId="77777777" w:rsidTr="00975A53">
        <w:tc>
          <w:tcPr>
            <w:tcW w:w="17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204E3C" w14:textId="77777777" w:rsidR="00665B80" w:rsidRPr="00D607A0" w:rsidRDefault="00665B80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662459" w14:textId="77777777" w:rsidR="00665B80" w:rsidRPr="00D607A0" w:rsidRDefault="00665B80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8D27ED" w14:textId="77777777" w:rsidR="00665B80" w:rsidRPr="00D607A0" w:rsidRDefault="00665B80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416E69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9EA5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665B80" w:rsidRPr="00D607A0" w14:paraId="6F5A5DAF" w14:textId="77777777" w:rsidTr="00975A53">
        <w:tc>
          <w:tcPr>
            <w:tcW w:w="1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B98081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Total revenue and income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3DA29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229,909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553620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584,477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0A64A7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(354,568)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64C3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-61%</w:t>
            </w:r>
          </w:p>
        </w:tc>
      </w:tr>
      <w:tr w:rsidR="00665B80" w:rsidRPr="00D607A0" w14:paraId="5E4E5BA4" w14:textId="77777777" w:rsidTr="00975A53">
        <w:tc>
          <w:tcPr>
            <w:tcW w:w="1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C90266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6DFEC3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123,865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D3547B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312,830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CE420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(188,965)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799D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-60%</w:t>
            </w:r>
          </w:p>
        </w:tc>
      </w:tr>
      <w:tr w:rsidR="00665B80" w:rsidRPr="00D607A0" w14:paraId="3075D76C" w14:textId="77777777" w:rsidTr="00975A53"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9A16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3354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106,044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8BD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271,647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11BA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(165,603)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E8F6" w14:textId="77777777" w:rsidR="00665B80" w:rsidRPr="00D607A0" w:rsidRDefault="00975A53" w:rsidP="00975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607A0">
              <w:rPr>
                <w:rFonts w:ascii="Arial" w:hAnsi="Arial" w:cs="Arial"/>
                <w:color w:val="010000"/>
                <w:sz w:val="20"/>
              </w:rPr>
              <w:t>-61%</w:t>
            </w:r>
          </w:p>
        </w:tc>
      </w:tr>
    </w:tbl>
    <w:p w14:paraId="33D60A99" w14:textId="77777777" w:rsidR="00665B80" w:rsidRPr="00D607A0" w:rsidRDefault="00975A53" w:rsidP="00975A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607A0">
        <w:rPr>
          <w:rFonts w:ascii="Arial" w:hAnsi="Arial" w:cs="Arial"/>
          <w:color w:val="010000"/>
          <w:sz w:val="20"/>
        </w:rPr>
        <w:t>Reason:</w:t>
      </w:r>
    </w:p>
    <w:p w14:paraId="35616A8C" w14:textId="6FAF7329" w:rsidR="00665B80" w:rsidRPr="00D607A0" w:rsidRDefault="00975A53" w:rsidP="00C730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07A0">
        <w:rPr>
          <w:rFonts w:ascii="Arial" w:hAnsi="Arial" w:cs="Arial"/>
          <w:color w:val="010000"/>
          <w:sz w:val="20"/>
        </w:rPr>
        <w:t xml:space="preserve">The main reason was that total revenue decreased by </w:t>
      </w:r>
      <w:bookmarkStart w:id="0" w:name="_GoBack"/>
      <w:r w:rsidRPr="00D607A0">
        <w:rPr>
          <w:rFonts w:ascii="Arial" w:hAnsi="Arial" w:cs="Arial"/>
          <w:color w:val="010000"/>
          <w:sz w:val="20"/>
        </w:rPr>
        <w:t xml:space="preserve">VND 354,568 million (corresponding to a decrease of 61%), total expenses (including </w:t>
      </w:r>
      <w:r w:rsidR="00D607A0" w:rsidRPr="00D607A0">
        <w:rPr>
          <w:rFonts w:ascii="Arial" w:hAnsi="Arial" w:cs="Arial"/>
          <w:color w:val="010000"/>
          <w:sz w:val="20"/>
        </w:rPr>
        <w:t>corporate income tax</w:t>
      </w:r>
      <w:r w:rsidRPr="00D607A0">
        <w:rPr>
          <w:rFonts w:ascii="Arial" w:hAnsi="Arial" w:cs="Arial"/>
          <w:color w:val="010000"/>
          <w:sz w:val="20"/>
        </w:rPr>
        <w:t>) decreased by VND 188,965 million (corresponding to a decrease of 60%), leading to a decrease in profit after tax of VND 165,603 million (corresponding to a decrease of 61%).</w:t>
      </w:r>
      <w:bookmarkEnd w:id="0"/>
    </w:p>
    <w:sectPr w:rsidR="00665B80" w:rsidRPr="00D607A0" w:rsidSect="00975A5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5E32"/>
    <w:multiLevelType w:val="multilevel"/>
    <w:tmpl w:val="FDAA176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0"/>
    <w:rsid w:val="00665B80"/>
    <w:rsid w:val="00975A53"/>
    <w:rsid w:val="00C7306D"/>
    <w:rsid w:val="00D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4307"/>
  <w15:docId w15:val="{EB98098D-B6BF-4188-957B-97FE53E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E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E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A1A1E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i/>
      <w:iCs/>
      <w:color w:val="1A1A1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1A1A1E"/>
    </w:rPr>
  </w:style>
  <w:style w:type="paragraph" w:customStyle="1" w:styleId="Bodytext20">
    <w:name w:val="Body text (2)"/>
    <w:basedOn w:val="Normal"/>
    <w:link w:val="Bodytext2"/>
    <w:pPr>
      <w:spacing w:line="233" w:lineRule="auto"/>
      <w:ind w:left="880"/>
    </w:pPr>
    <w:rPr>
      <w:rFonts w:ascii="Arial" w:eastAsia="Arial" w:hAnsi="Arial" w:cs="Arial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KxbZCbVBaJcyQ/ZU6CxsvYEftA==">CgMxLjA4AHIhMVlyTHU4SEI2LXZEemlFZHptdjNlVmY0UUUtVjdHX2FM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2024-03-27T04:06:00Z</dcterms:created>
  <dcterms:modified xsi:type="dcterms:W3CDTF">2024-03-28T06:17:00Z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5420e69a3388aa1f53e24a9f45757c6593248e3e27e281d9e3b31d08802c5102</vt:lpwstr>
  </property>
</Properties>
</file>