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6514" w:rsidRPr="00E56015" w:rsidRDefault="00414A05" w:rsidP="00414A05">
      <w:pPr>
        <w:pBdr>
          <w:top w:val="nil"/>
          <w:left w:val="nil"/>
          <w:bottom w:val="nil"/>
          <w:right w:val="nil"/>
          <w:between w:val="nil"/>
        </w:pBdr>
        <w:tabs>
          <w:tab w:val="left" w:pos="432"/>
          <w:tab w:val="left" w:pos="5288"/>
        </w:tabs>
        <w:spacing w:after="120" w:line="360" w:lineRule="auto"/>
        <w:rPr>
          <w:rFonts w:ascii="Arial" w:eastAsia="Arial" w:hAnsi="Arial" w:cs="Arial"/>
          <w:b/>
          <w:color w:val="010000"/>
          <w:sz w:val="20"/>
          <w:szCs w:val="20"/>
        </w:rPr>
      </w:pPr>
      <w:bookmarkStart w:id="0" w:name="_heading=h.gjdgxs"/>
      <w:bookmarkEnd w:id="0"/>
      <w:r w:rsidRPr="00E56015">
        <w:rPr>
          <w:rFonts w:ascii="Arial" w:hAnsi="Arial" w:cs="Arial"/>
          <w:b/>
          <w:color w:val="010000"/>
          <w:sz w:val="20"/>
        </w:rPr>
        <w:t>DAS: Board Decision</w:t>
      </w:r>
    </w:p>
    <w:p w14:paraId="00000002" w14:textId="0CC26AF7" w:rsidR="007C6514" w:rsidRPr="00E56015" w:rsidRDefault="00414A05" w:rsidP="00414A05">
      <w:pPr>
        <w:pBdr>
          <w:top w:val="nil"/>
          <w:left w:val="nil"/>
          <w:bottom w:val="nil"/>
          <w:right w:val="nil"/>
          <w:between w:val="nil"/>
        </w:pBdr>
        <w:tabs>
          <w:tab w:val="left" w:pos="432"/>
          <w:tab w:val="left" w:pos="5288"/>
        </w:tabs>
        <w:spacing w:after="120" w:line="360" w:lineRule="auto"/>
        <w:rPr>
          <w:rFonts w:ascii="Arial" w:eastAsia="Arial" w:hAnsi="Arial" w:cs="Arial"/>
          <w:color w:val="010000"/>
          <w:sz w:val="20"/>
          <w:szCs w:val="20"/>
        </w:rPr>
      </w:pPr>
      <w:r w:rsidRPr="00E56015">
        <w:rPr>
          <w:rFonts w:ascii="Arial" w:hAnsi="Arial" w:cs="Arial"/>
          <w:color w:val="010000"/>
          <w:sz w:val="20"/>
        </w:rPr>
        <w:t xml:space="preserve">On March 25, 2024, </w:t>
      </w:r>
      <w:r w:rsidR="00206F64">
        <w:rPr>
          <w:rFonts w:ascii="Arial" w:hAnsi="Arial" w:cs="Arial"/>
          <w:color w:val="010000"/>
          <w:sz w:val="20"/>
        </w:rPr>
        <w:t>Da Nang</w:t>
      </w:r>
      <w:r w:rsidRPr="00E56015">
        <w:rPr>
          <w:rFonts w:ascii="Arial" w:hAnsi="Arial" w:cs="Arial"/>
          <w:color w:val="010000"/>
          <w:sz w:val="20"/>
        </w:rPr>
        <w:t xml:space="preserve"> Petroleum Machinery - Technology Joint Stock Company announced </w:t>
      </w:r>
      <w:r w:rsidR="00E56015">
        <w:rPr>
          <w:rFonts w:ascii="Arial" w:hAnsi="Arial" w:cs="Arial"/>
          <w:color w:val="010000"/>
          <w:sz w:val="20"/>
        </w:rPr>
        <w:t>Decision</w:t>
      </w:r>
      <w:r w:rsidRPr="00E56015">
        <w:rPr>
          <w:rFonts w:ascii="Arial" w:hAnsi="Arial" w:cs="Arial"/>
          <w:color w:val="010000"/>
          <w:sz w:val="20"/>
        </w:rPr>
        <w:t xml:space="preserve"> </w:t>
      </w:r>
      <w:r w:rsidR="00E56015" w:rsidRPr="00E56015">
        <w:rPr>
          <w:rFonts w:ascii="Arial" w:hAnsi="Arial" w:cs="Arial"/>
          <w:color w:val="010000"/>
          <w:sz w:val="20"/>
        </w:rPr>
        <w:t xml:space="preserve">No. </w:t>
      </w:r>
      <w:r w:rsidRPr="00E56015">
        <w:rPr>
          <w:rFonts w:ascii="Arial" w:hAnsi="Arial" w:cs="Arial"/>
          <w:color w:val="010000"/>
          <w:sz w:val="20"/>
        </w:rPr>
        <w:t xml:space="preserve">038/QD/MTBDN-HDQT on convening the Annual General Meeting of Shareholders 2024 of </w:t>
      </w:r>
      <w:r w:rsidR="00206F64">
        <w:rPr>
          <w:rFonts w:ascii="Arial" w:hAnsi="Arial" w:cs="Arial"/>
          <w:color w:val="010000"/>
          <w:sz w:val="20"/>
        </w:rPr>
        <w:t>Da Nang</w:t>
      </w:r>
      <w:r w:rsidRPr="00E56015">
        <w:rPr>
          <w:rFonts w:ascii="Arial" w:hAnsi="Arial" w:cs="Arial"/>
          <w:color w:val="010000"/>
          <w:sz w:val="20"/>
        </w:rPr>
        <w:t xml:space="preserve"> Petroleum Machinery - Technology Joint Stock Company as follows: </w:t>
      </w:r>
    </w:p>
    <w:p w14:paraId="00000003" w14:textId="00AB52A1" w:rsidR="007C6514" w:rsidRPr="00E56015" w:rsidRDefault="00414A05" w:rsidP="00414A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6015">
        <w:rPr>
          <w:rFonts w:ascii="Arial" w:hAnsi="Arial" w:cs="Arial"/>
          <w:color w:val="010000"/>
          <w:sz w:val="20"/>
        </w:rPr>
        <w:t xml:space="preserve">‎‎Article 1. Convene the Annual General Meeting of Shareholders 2024 of </w:t>
      </w:r>
      <w:r w:rsidR="00206F64">
        <w:rPr>
          <w:rFonts w:ascii="Arial" w:hAnsi="Arial" w:cs="Arial"/>
          <w:color w:val="010000"/>
          <w:sz w:val="20"/>
        </w:rPr>
        <w:t>Da Nang</w:t>
      </w:r>
      <w:r w:rsidRPr="00E56015">
        <w:rPr>
          <w:rFonts w:ascii="Arial" w:hAnsi="Arial" w:cs="Arial"/>
          <w:color w:val="010000"/>
          <w:sz w:val="20"/>
        </w:rPr>
        <w:t xml:space="preserve"> Petroleum Machinery - Technology Joint Stock Company:</w:t>
      </w:r>
    </w:p>
    <w:p w14:paraId="00000004" w14:textId="7E3461B4" w:rsidR="007C6514" w:rsidRPr="00E56015" w:rsidRDefault="00414A05" w:rsidP="00414A05">
      <w:pPr>
        <w:numPr>
          <w:ilvl w:val="0"/>
          <w:numId w:val="1"/>
        </w:numPr>
        <w:pBdr>
          <w:top w:val="nil"/>
          <w:left w:val="nil"/>
          <w:bottom w:val="nil"/>
          <w:right w:val="nil"/>
          <w:between w:val="nil"/>
        </w:pBdr>
        <w:tabs>
          <w:tab w:val="left" w:pos="432"/>
          <w:tab w:val="left" w:pos="2368"/>
        </w:tabs>
        <w:spacing w:after="120" w:line="360" w:lineRule="auto"/>
        <w:rPr>
          <w:rFonts w:ascii="Arial" w:eastAsia="Arial" w:hAnsi="Arial" w:cs="Arial"/>
          <w:color w:val="010000"/>
          <w:sz w:val="20"/>
          <w:szCs w:val="20"/>
        </w:rPr>
      </w:pPr>
      <w:r w:rsidRPr="00E56015">
        <w:rPr>
          <w:rFonts w:ascii="Arial" w:hAnsi="Arial" w:cs="Arial"/>
          <w:color w:val="010000"/>
          <w:sz w:val="20"/>
        </w:rPr>
        <w:t xml:space="preserve">Time: 8:00 </w:t>
      </w:r>
      <w:r w:rsidR="00E56015">
        <w:rPr>
          <w:rFonts w:ascii="Arial" w:hAnsi="Arial" w:cs="Arial"/>
          <w:color w:val="010000"/>
          <w:sz w:val="20"/>
        </w:rPr>
        <w:t>a.m.</w:t>
      </w:r>
      <w:r w:rsidRPr="00E56015">
        <w:rPr>
          <w:rFonts w:ascii="Arial" w:hAnsi="Arial" w:cs="Arial"/>
          <w:color w:val="010000"/>
          <w:sz w:val="20"/>
        </w:rPr>
        <w:t xml:space="preserve"> on April 16, 2024 (Tuesday)</w:t>
      </w:r>
    </w:p>
    <w:p w14:paraId="00000005" w14:textId="1C8D99F4" w:rsidR="007C6514" w:rsidRPr="00E56015" w:rsidRDefault="00414A05" w:rsidP="00414A05">
      <w:pPr>
        <w:numPr>
          <w:ilvl w:val="0"/>
          <w:numId w:val="1"/>
        </w:numPr>
        <w:pBdr>
          <w:top w:val="nil"/>
          <w:left w:val="nil"/>
          <w:bottom w:val="nil"/>
          <w:right w:val="nil"/>
          <w:between w:val="nil"/>
        </w:pBdr>
        <w:tabs>
          <w:tab w:val="left" w:pos="432"/>
          <w:tab w:val="left" w:pos="2334"/>
        </w:tabs>
        <w:spacing w:after="120" w:line="360" w:lineRule="auto"/>
        <w:rPr>
          <w:rFonts w:ascii="Arial" w:eastAsia="Arial" w:hAnsi="Arial" w:cs="Arial"/>
          <w:color w:val="010000"/>
          <w:sz w:val="20"/>
          <w:szCs w:val="20"/>
        </w:rPr>
      </w:pPr>
      <w:r w:rsidRPr="00E56015">
        <w:rPr>
          <w:rFonts w:ascii="Arial" w:hAnsi="Arial" w:cs="Arial"/>
          <w:color w:val="010000"/>
          <w:sz w:val="20"/>
        </w:rPr>
        <w:t xml:space="preserve">Venue: EDEN PLAZA </w:t>
      </w:r>
      <w:r w:rsidR="00206F64">
        <w:rPr>
          <w:rFonts w:ascii="Arial" w:hAnsi="Arial" w:cs="Arial"/>
          <w:color w:val="010000"/>
          <w:sz w:val="20"/>
        </w:rPr>
        <w:t>Da Nang</w:t>
      </w:r>
      <w:r w:rsidRPr="00E56015">
        <w:rPr>
          <w:rFonts w:ascii="Arial" w:hAnsi="Arial" w:cs="Arial"/>
          <w:color w:val="010000"/>
          <w:sz w:val="20"/>
        </w:rPr>
        <w:t xml:space="preserve"> Hotel - No. 07 Duy Tan, Hoa Cuong Bac Ward, Hai Chau District, Da Nang City.</w:t>
      </w:r>
    </w:p>
    <w:p w14:paraId="00000006" w14:textId="69285A72" w:rsidR="007C6514" w:rsidRPr="00E56015" w:rsidRDefault="00414A05" w:rsidP="00414A05">
      <w:pPr>
        <w:numPr>
          <w:ilvl w:val="0"/>
          <w:numId w:val="1"/>
        </w:numPr>
        <w:pBdr>
          <w:top w:val="nil"/>
          <w:left w:val="nil"/>
          <w:bottom w:val="nil"/>
          <w:right w:val="nil"/>
          <w:between w:val="nil"/>
        </w:pBdr>
        <w:tabs>
          <w:tab w:val="left" w:pos="432"/>
          <w:tab w:val="left" w:pos="2349"/>
        </w:tabs>
        <w:spacing w:after="120" w:line="360" w:lineRule="auto"/>
        <w:rPr>
          <w:rFonts w:ascii="Arial" w:eastAsia="Arial" w:hAnsi="Arial" w:cs="Arial"/>
          <w:color w:val="010000"/>
          <w:sz w:val="20"/>
          <w:szCs w:val="20"/>
        </w:rPr>
      </w:pPr>
      <w:r w:rsidRPr="00E56015">
        <w:rPr>
          <w:rFonts w:ascii="Arial" w:hAnsi="Arial" w:cs="Arial"/>
          <w:color w:val="010000"/>
          <w:sz w:val="20"/>
        </w:rPr>
        <w:t xml:space="preserve">Shareholders owning securities of </w:t>
      </w:r>
      <w:r w:rsidR="00206F64">
        <w:rPr>
          <w:rFonts w:ascii="Arial" w:hAnsi="Arial" w:cs="Arial"/>
          <w:color w:val="010000"/>
          <w:sz w:val="20"/>
        </w:rPr>
        <w:t>Da Nang</w:t>
      </w:r>
      <w:r w:rsidRPr="00E56015">
        <w:rPr>
          <w:rFonts w:ascii="Arial" w:hAnsi="Arial" w:cs="Arial"/>
          <w:color w:val="010000"/>
          <w:sz w:val="20"/>
        </w:rPr>
        <w:t xml:space="preserve"> Petroleum Equipment and Machinery Joint Stock Company according to the list of shareholders of Vietnam Securities Depository dated March 15, 2024 or duly authorized persons.</w:t>
      </w:r>
    </w:p>
    <w:p w14:paraId="00000007" w14:textId="77777777" w:rsidR="007C6514" w:rsidRPr="00E56015" w:rsidRDefault="00414A05" w:rsidP="00414A05">
      <w:pPr>
        <w:numPr>
          <w:ilvl w:val="0"/>
          <w:numId w:val="1"/>
        </w:numPr>
        <w:pBdr>
          <w:top w:val="nil"/>
          <w:left w:val="nil"/>
          <w:bottom w:val="nil"/>
          <w:right w:val="nil"/>
          <w:between w:val="nil"/>
        </w:pBdr>
        <w:tabs>
          <w:tab w:val="left" w:pos="432"/>
          <w:tab w:val="left" w:pos="2368"/>
        </w:tabs>
        <w:spacing w:after="120" w:line="360" w:lineRule="auto"/>
        <w:rPr>
          <w:rFonts w:ascii="Arial" w:eastAsia="Arial" w:hAnsi="Arial" w:cs="Arial"/>
          <w:color w:val="010000"/>
          <w:sz w:val="20"/>
          <w:szCs w:val="20"/>
        </w:rPr>
      </w:pPr>
      <w:r w:rsidRPr="00E56015">
        <w:rPr>
          <w:rFonts w:ascii="Arial" w:hAnsi="Arial" w:cs="Arial"/>
          <w:color w:val="010000"/>
          <w:sz w:val="20"/>
        </w:rPr>
        <w:t>Contents submitted to the Annual General Meeting of Shareholders 2024:</w:t>
      </w:r>
    </w:p>
    <w:p w14:paraId="00000008" w14:textId="77777777" w:rsidR="007C6514" w:rsidRPr="00E56015" w:rsidRDefault="00414A05" w:rsidP="00414A05">
      <w:pPr>
        <w:numPr>
          <w:ilvl w:val="0"/>
          <w:numId w:val="2"/>
        </w:numPr>
        <w:pBdr>
          <w:top w:val="nil"/>
          <w:left w:val="nil"/>
          <w:bottom w:val="nil"/>
          <w:right w:val="nil"/>
          <w:between w:val="nil"/>
        </w:pBdr>
        <w:tabs>
          <w:tab w:val="left" w:pos="432"/>
          <w:tab w:val="left" w:pos="2470"/>
        </w:tabs>
        <w:spacing w:after="120" w:line="360" w:lineRule="auto"/>
        <w:rPr>
          <w:rFonts w:ascii="Arial" w:eastAsia="Arial" w:hAnsi="Arial" w:cs="Arial"/>
          <w:color w:val="010000"/>
          <w:sz w:val="20"/>
          <w:szCs w:val="20"/>
        </w:rPr>
      </w:pPr>
      <w:r w:rsidRPr="00E56015">
        <w:rPr>
          <w:rFonts w:ascii="Arial" w:hAnsi="Arial" w:cs="Arial"/>
          <w:color w:val="010000"/>
          <w:sz w:val="20"/>
        </w:rPr>
        <w:t>Working regulations at the Annual General Meeting of Shareholders 2024;</w:t>
      </w:r>
    </w:p>
    <w:p w14:paraId="00000009" w14:textId="77777777" w:rsidR="007C6514" w:rsidRPr="00E56015" w:rsidRDefault="00414A05" w:rsidP="00414A05">
      <w:pPr>
        <w:numPr>
          <w:ilvl w:val="0"/>
          <w:numId w:val="2"/>
        </w:numPr>
        <w:pBdr>
          <w:top w:val="nil"/>
          <w:left w:val="nil"/>
          <w:bottom w:val="nil"/>
          <w:right w:val="nil"/>
          <w:between w:val="nil"/>
        </w:pBdr>
        <w:tabs>
          <w:tab w:val="left" w:pos="432"/>
          <w:tab w:val="left" w:pos="2470"/>
        </w:tabs>
        <w:spacing w:after="120" w:line="360" w:lineRule="auto"/>
        <w:rPr>
          <w:rFonts w:ascii="Arial" w:eastAsia="Arial" w:hAnsi="Arial" w:cs="Arial"/>
          <w:color w:val="010000"/>
          <w:sz w:val="20"/>
          <w:szCs w:val="20"/>
        </w:rPr>
      </w:pPr>
      <w:r w:rsidRPr="00E56015">
        <w:rPr>
          <w:rFonts w:ascii="Arial" w:hAnsi="Arial" w:cs="Arial"/>
          <w:color w:val="010000"/>
          <w:sz w:val="20"/>
        </w:rPr>
        <w:t>Report on activities of the Board of Directors at the General Meeting of Shareholders in 2024;</w:t>
      </w:r>
    </w:p>
    <w:p w14:paraId="0000000A" w14:textId="77777777" w:rsidR="007C6514" w:rsidRPr="00E56015" w:rsidRDefault="00414A05" w:rsidP="00414A05">
      <w:pPr>
        <w:numPr>
          <w:ilvl w:val="0"/>
          <w:numId w:val="2"/>
        </w:numPr>
        <w:pBdr>
          <w:top w:val="nil"/>
          <w:left w:val="nil"/>
          <w:bottom w:val="nil"/>
          <w:right w:val="nil"/>
          <w:between w:val="nil"/>
        </w:pBdr>
        <w:tabs>
          <w:tab w:val="left" w:pos="432"/>
          <w:tab w:val="left" w:pos="2470"/>
        </w:tabs>
        <w:spacing w:after="120" w:line="360" w:lineRule="auto"/>
        <w:rPr>
          <w:rFonts w:ascii="Arial" w:eastAsia="Arial" w:hAnsi="Arial" w:cs="Arial"/>
          <w:color w:val="010000"/>
          <w:sz w:val="20"/>
          <w:szCs w:val="20"/>
        </w:rPr>
      </w:pPr>
      <w:r w:rsidRPr="00E56015">
        <w:rPr>
          <w:rFonts w:ascii="Arial" w:hAnsi="Arial" w:cs="Arial"/>
          <w:color w:val="010000"/>
          <w:sz w:val="20"/>
        </w:rPr>
        <w:t>Report on the business results in 2023 and the business plan for 2024;</w:t>
      </w:r>
    </w:p>
    <w:p w14:paraId="0000000B" w14:textId="387DD9B1" w:rsidR="007C6514" w:rsidRPr="00E56015" w:rsidRDefault="00414A05" w:rsidP="00414A05">
      <w:pPr>
        <w:numPr>
          <w:ilvl w:val="0"/>
          <w:numId w:val="2"/>
        </w:numPr>
        <w:pBdr>
          <w:top w:val="nil"/>
          <w:left w:val="nil"/>
          <w:bottom w:val="nil"/>
          <w:right w:val="nil"/>
          <w:between w:val="nil"/>
        </w:pBdr>
        <w:tabs>
          <w:tab w:val="left" w:pos="432"/>
          <w:tab w:val="left" w:pos="2498"/>
        </w:tabs>
        <w:spacing w:after="120" w:line="360" w:lineRule="auto"/>
        <w:rPr>
          <w:rFonts w:ascii="Arial" w:eastAsia="Arial" w:hAnsi="Arial" w:cs="Arial"/>
          <w:color w:val="010000"/>
          <w:sz w:val="20"/>
          <w:szCs w:val="20"/>
        </w:rPr>
      </w:pPr>
      <w:r w:rsidRPr="00E56015">
        <w:rPr>
          <w:rFonts w:ascii="Arial" w:hAnsi="Arial" w:cs="Arial"/>
          <w:color w:val="010000"/>
          <w:sz w:val="20"/>
        </w:rPr>
        <w:t xml:space="preserve">Approve the Report on activities of the Supervisory Board in 2023 and the Audited </w:t>
      </w:r>
      <w:r w:rsidR="00E56015" w:rsidRPr="00E56015">
        <w:rPr>
          <w:rFonts w:ascii="Arial" w:hAnsi="Arial" w:cs="Arial"/>
          <w:color w:val="010000"/>
          <w:sz w:val="20"/>
        </w:rPr>
        <w:t xml:space="preserve">Financial Statements </w:t>
      </w:r>
      <w:r w:rsidRPr="00E56015">
        <w:rPr>
          <w:rFonts w:ascii="Arial" w:hAnsi="Arial" w:cs="Arial"/>
          <w:color w:val="010000"/>
          <w:sz w:val="20"/>
        </w:rPr>
        <w:t>2023;</w:t>
      </w:r>
    </w:p>
    <w:p w14:paraId="0000000C" w14:textId="77777777" w:rsidR="007C6514" w:rsidRPr="00E56015" w:rsidRDefault="00414A05" w:rsidP="00414A05">
      <w:pPr>
        <w:numPr>
          <w:ilvl w:val="0"/>
          <w:numId w:val="2"/>
        </w:numPr>
        <w:pBdr>
          <w:top w:val="nil"/>
          <w:left w:val="nil"/>
          <w:bottom w:val="nil"/>
          <w:right w:val="nil"/>
          <w:between w:val="nil"/>
        </w:pBdr>
        <w:tabs>
          <w:tab w:val="left" w:pos="432"/>
          <w:tab w:val="left" w:pos="2497"/>
        </w:tabs>
        <w:spacing w:after="120" w:line="360" w:lineRule="auto"/>
        <w:rPr>
          <w:rFonts w:ascii="Arial" w:eastAsia="Arial" w:hAnsi="Arial" w:cs="Arial"/>
          <w:color w:val="010000"/>
          <w:sz w:val="20"/>
          <w:szCs w:val="20"/>
        </w:rPr>
      </w:pPr>
      <w:r w:rsidRPr="00E56015">
        <w:rPr>
          <w:rFonts w:ascii="Arial" w:hAnsi="Arial" w:cs="Arial"/>
          <w:color w:val="010000"/>
          <w:sz w:val="20"/>
        </w:rPr>
        <w:t>Proposal on profit distribution in 2023;</w:t>
      </w:r>
    </w:p>
    <w:p w14:paraId="0000000D" w14:textId="77777777" w:rsidR="007C6514" w:rsidRPr="00E56015" w:rsidRDefault="00414A05" w:rsidP="00414A05">
      <w:pPr>
        <w:numPr>
          <w:ilvl w:val="0"/>
          <w:numId w:val="2"/>
        </w:numPr>
        <w:pBdr>
          <w:top w:val="nil"/>
          <w:left w:val="nil"/>
          <w:bottom w:val="nil"/>
          <w:right w:val="nil"/>
          <w:between w:val="nil"/>
        </w:pBdr>
        <w:tabs>
          <w:tab w:val="left" w:pos="432"/>
          <w:tab w:val="left" w:pos="2507"/>
        </w:tabs>
        <w:spacing w:after="120" w:line="360" w:lineRule="auto"/>
        <w:rPr>
          <w:rFonts w:ascii="Arial" w:eastAsia="Arial" w:hAnsi="Arial" w:cs="Arial"/>
          <w:color w:val="010000"/>
          <w:sz w:val="20"/>
          <w:szCs w:val="20"/>
        </w:rPr>
      </w:pPr>
      <w:r w:rsidRPr="00E56015">
        <w:rPr>
          <w:rFonts w:ascii="Arial" w:hAnsi="Arial" w:cs="Arial"/>
          <w:color w:val="010000"/>
          <w:sz w:val="20"/>
        </w:rPr>
        <w:t>The proposal on settlement of remuneration of the Board of Directors, Supervisory Board, Secretariat of the Board of Directors in 2023 and the plan to pay the remuneration of the Board of Directors, Supervisory Board, Secretariat of the Board of Directors in 2024;</w:t>
      </w:r>
    </w:p>
    <w:p w14:paraId="0000000E" w14:textId="7B17FE63" w:rsidR="007C6514" w:rsidRPr="00E56015" w:rsidRDefault="00414A05" w:rsidP="00414A05">
      <w:pPr>
        <w:numPr>
          <w:ilvl w:val="0"/>
          <w:numId w:val="2"/>
        </w:numPr>
        <w:pBdr>
          <w:top w:val="nil"/>
          <w:left w:val="nil"/>
          <w:bottom w:val="nil"/>
          <w:right w:val="nil"/>
          <w:between w:val="nil"/>
        </w:pBdr>
        <w:tabs>
          <w:tab w:val="left" w:pos="432"/>
          <w:tab w:val="left" w:pos="2520"/>
        </w:tabs>
        <w:spacing w:after="120" w:line="360" w:lineRule="auto"/>
        <w:rPr>
          <w:rFonts w:ascii="Arial" w:eastAsia="Arial" w:hAnsi="Arial" w:cs="Arial"/>
          <w:color w:val="010000"/>
          <w:sz w:val="20"/>
          <w:szCs w:val="20"/>
        </w:rPr>
      </w:pPr>
      <w:r w:rsidRPr="00E56015">
        <w:rPr>
          <w:rFonts w:ascii="Arial" w:hAnsi="Arial" w:cs="Arial"/>
          <w:color w:val="010000"/>
          <w:sz w:val="20"/>
        </w:rPr>
        <w:t xml:space="preserve">Proposal on the selection of an audit company to audit the Company’s </w:t>
      </w:r>
      <w:r w:rsidR="00E56015" w:rsidRPr="00E56015">
        <w:rPr>
          <w:rFonts w:ascii="Arial" w:hAnsi="Arial" w:cs="Arial"/>
          <w:color w:val="010000"/>
          <w:sz w:val="20"/>
        </w:rPr>
        <w:t>Financial Statements 20</w:t>
      </w:r>
      <w:r w:rsidRPr="00E56015">
        <w:rPr>
          <w:rFonts w:ascii="Arial" w:hAnsi="Arial" w:cs="Arial"/>
          <w:color w:val="010000"/>
          <w:sz w:val="20"/>
        </w:rPr>
        <w:t>24.</w:t>
      </w:r>
    </w:p>
    <w:p w14:paraId="0000000F" w14:textId="77777777" w:rsidR="007C6514" w:rsidRPr="00E56015" w:rsidRDefault="00414A05" w:rsidP="00414A05">
      <w:pPr>
        <w:numPr>
          <w:ilvl w:val="0"/>
          <w:numId w:val="2"/>
        </w:numPr>
        <w:pBdr>
          <w:top w:val="nil"/>
          <w:left w:val="nil"/>
          <w:bottom w:val="nil"/>
          <w:right w:val="nil"/>
          <w:between w:val="nil"/>
        </w:pBdr>
        <w:tabs>
          <w:tab w:val="left" w:pos="432"/>
          <w:tab w:val="left" w:pos="2497"/>
        </w:tabs>
        <w:spacing w:after="120" w:line="360" w:lineRule="auto"/>
        <w:rPr>
          <w:rFonts w:ascii="Arial" w:eastAsia="Arial" w:hAnsi="Arial" w:cs="Arial"/>
          <w:color w:val="010000"/>
          <w:sz w:val="20"/>
          <w:szCs w:val="20"/>
        </w:rPr>
      </w:pPr>
      <w:r w:rsidRPr="00E56015">
        <w:rPr>
          <w:rFonts w:ascii="Arial" w:hAnsi="Arial" w:cs="Arial"/>
          <w:color w:val="010000"/>
          <w:sz w:val="20"/>
        </w:rPr>
        <w:t>Proposal on the dismissal and election of additional members of the Supervisory Board</w:t>
      </w:r>
    </w:p>
    <w:p w14:paraId="00000010" w14:textId="77777777" w:rsidR="007C6514" w:rsidRPr="00E56015" w:rsidRDefault="00414A05" w:rsidP="00414A05">
      <w:pPr>
        <w:numPr>
          <w:ilvl w:val="0"/>
          <w:numId w:val="2"/>
        </w:numPr>
        <w:pBdr>
          <w:top w:val="nil"/>
          <w:left w:val="nil"/>
          <w:bottom w:val="nil"/>
          <w:right w:val="nil"/>
          <w:between w:val="nil"/>
        </w:pBdr>
        <w:tabs>
          <w:tab w:val="left" w:pos="432"/>
          <w:tab w:val="left" w:pos="2497"/>
        </w:tabs>
        <w:spacing w:after="120" w:line="360" w:lineRule="auto"/>
        <w:rPr>
          <w:rFonts w:ascii="Arial" w:eastAsia="Arial" w:hAnsi="Arial" w:cs="Arial"/>
          <w:color w:val="010000"/>
          <w:sz w:val="20"/>
          <w:szCs w:val="20"/>
        </w:rPr>
      </w:pPr>
      <w:r w:rsidRPr="00E56015">
        <w:rPr>
          <w:rFonts w:ascii="Arial" w:hAnsi="Arial" w:cs="Arial"/>
          <w:color w:val="010000"/>
          <w:sz w:val="20"/>
        </w:rPr>
        <w:t>Regulations on nomination, candidacy and additional election of members of the Supervisory Board;</w:t>
      </w:r>
    </w:p>
    <w:p w14:paraId="00000011" w14:textId="77777777" w:rsidR="007C6514" w:rsidRPr="00E56015" w:rsidRDefault="00414A05" w:rsidP="00414A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6015">
        <w:rPr>
          <w:rFonts w:ascii="Arial" w:hAnsi="Arial" w:cs="Arial"/>
          <w:color w:val="010000"/>
          <w:sz w:val="20"/>
        </w:rPr>
        <w:t>Details in the attached document</w:t>
      </w:r>
    </w:p>
    <w:p w14:paraId="00000012" w14:textId="77777777" w:rsidR="007C6514" w:rsidRPr="00E56015" w:rsidRDefault="00414A05" w:rsidP="00414A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56015">
        <w:rPr>
          <w:rFonts w:ascii="Arial" w:hAnsi="Arial" w:cs="Arial"/>
          <w:color w:val="010000"/>
          <w:sz w:val="20"/>
        </w:rPr>
        <w:t>‎‎Article 2. This Decision takes effect on the date of its signing. The Manager, Chief Accountant, Head of the Organizing Committee of the General Meeting, Heads of functional departments of the Company are responsible for the implementation of this Decision./.</w:t>
      </w:r>
    </w:p>
    <w:sectPr w:rsidR="007C6514" w:rsidRPr="00E56015" w:rsidSect="0070255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E1F87"/>
    <w:multiLevelType w:val="multilevel"/>
    <w:tmpl w:val="4FDABA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7B231C7"/>
    <w:multiLevelType w:val="multilevel"/>
    <w:tmpl w:val="B0AE70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14"/>
    <w:rsid w:val="00206F64"/>
    <w:rsid w:val="00414A05"/>
    <w:rsid w:val="0070255F"/>
    <w:rsid w:val="007C6514"/>
    <w:rsid w:val="00E56015"/>
    <w:rsid w:val="00F1336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CC914"/>
  <w15:docId w15:val="{6E47B3AF-17FF-4D80-A7A3-2D3E5D04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shd w:val="clear" w:color="auto" w:fill="auto"/>
    </w:rPr>
  </w:style>
  <w:style w:type="paragraph" w:customStyle="1" w:styleId="Bodytext20">
    <w:name w:val="Body text (2)"/>
    <w:basedOn w:val="Normal"/>
    <w:link w:val="Bodytext2"/>
    <w:pPr>
      <w:ind w:left="2320"/>
    </w:pPr>
    <w:rPr>
      <w:rFonts w:ascii="Times New Roman" w:eastAsia="Times New Roman" w:hAnsi="Times New Roman" w:cs="Times New Roman"/>
      <w:sz w:val="22"/>
      <w:szCs w:val="22"/>
    </w:rPr>
  </w:style>
  <w:style w:type="paragraph" w:customStyle="1" w:styleId="Bodytext50">
    <w:name w:val="Body text (5)"/>
    <w:basedOn w:val="Normal"/>
    <w:link w:val="Bodytext5"/>
    <w:pPr>
      <w:jc w:val="right"/>
    </w:pPr>
    <w:rPr>
      <w:rFonts w:ascii="Arial" w:eastAsia="Arial" w:hAnsi="Arial" w:cs="Arial"/>
      <w:b/>
      <w:bCs/>
      <w:sz w:val="15"/>
      <w:szCs w:val="15"/>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71" w:lineRule="auto"/>
      <w:ind w:left="4360"/>
      <w:outlineLvl w:val="0"/>
    </w:pPr>
    <w:rPr>
      <w:rFonts w:ascii="Times New Roman" w:eastAsia="Times New Roman" w:hAnsi="Times New Roman" w:cs="Times New Roman"/>
      <w:b/>
      <w:bCs/>
      <w:sz w:val="28"/>
      <w:szCs w:val="28"/>
    </w:rPr>
  </w:style>
  <w:style w:type="paragraph" w:customStyle="1" w:styleId="Bodytext40">
    <w:name w:val="Body text (4)"/>
    <w:basedOn w:val="Normal"/>
    <w:link w:val="Bodytext4"/>
    <w:rPr>
      <w:rFonts w:ascii="Arial" w:eastAsia="Arial" w:hAnsi="Arial" w:cs="Arial"/>
      <w:b/>
      <w:bCs/>
      <w:sz w:val="8"/>
      <w:szCs w:val="8"/>
    </w:rPr>
  </w:style>
  <w:style w:type="paragraph" w:customStyle="1" w:styleId="Bodytext30">
    <w:name w:val="Body text (3)"/>
    <w:basedOn w:val="Normal"/>
    <w:link w:val="Bodytext3"/>
    <w:pPr>
      <w:spacing w:line="233" w:lineRule="auto"/>
    </w:pPr>
    <w:rPr>
      <w:rFonts w:ascii="Times New Roman" w:eastAsia="Times New Roman" w:hAnsi="Times New Roman" w:cs="Times New Roman"/>
      <w:b/>
      <w:bCs/>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13368"/>
    <w:rPr>
      <w:sz w:val="16"/>
      <w:szCs w:val="16"/>
    </w:rPr>
  </w:style>
  <w:style w:type="paragraph" w:styleId="CommentText">
    <w:name w:val="annotation text"/>
    <w:basedOn w:val="Normal"/>
    <w:link w:val="CommentTextChar"/>
    <w:uiPriority w:val="99"/>
    <w:semiHidden/>
    <w:unhideWhenUsed/>
    <w:rsid w:val="00F13368"/>
    <w:rPr>
      <w:sz w:val="20"/>
      <w:szCs w:val="20"/>
    </w:rPr>
  </w:style>
  <w:style w:type="character" w:customStyle="1" w:styleId="CommentTextChar">
    <w:name w:val="Comment Text Char"/>
    <w:basedOn w:val="DefaultParagraphFont"/>
    <w:link w:val="CommentText"/>
    <w:uiPriority w:val="99"/>
    <w:semiHidden/>
    <w:rsid w:val="00F13368"/>
    <w:rPr>
      <w:color w:val="000000"/>
      <w:sz w:val="20"/>
      <w:szCs w:val="20"/>
    </w:rPr>
  </w:style>
  <w:style w:type="paragraph" w:styleId="CommentSubject">
    <w:name w:val="annotation subject"/>
    <w:basedOn w:val="CommentText"/>
    <w:next w:val="CommentText"/>
    <w:link w:val="CommentSubjectChar"/>
    <w:uiPriority w:val="99"/>
    <w:semiHidden/>
    <w:unhideWhenUsed/>
    <w:rsid w:val="00F13368"/>
    <w:rPr>
      <w:b/>
      <w:bCs/>
    </w:rPr>
  </w:style>
  <w:style w:type="character" w:customStyle="1" w:styleId="CommentSubjectChar">
    <w:name w:val="Comment Subject Char"/>
    <w:basedOn w:val="CommentTextChar"/>
    <w:link w:val="CommentSubject"/>
    <w:uiPriority w:val="99"/>
    <w:semiHidden/>
    <w:rsid w:val="00F13368"/>
    <w:rPr>
      <w:b/>
      <w:bCs/>
      <w:color w:val="000000"/>
      <w:sz w:val="20"/>
      <w:szCs w:val="20"/>
    </w:rPr>
  </w:style>
  <w:style w:type="paragraph" w:styleId="Revision">
    <w:name w:val="Revision"/>
    <w:hidden/>
    <w:uiPriority w:val="99"/>
    <w:semiHidden/>
    <w:rsid w:val="00E5601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oHOR3upDSs+J/4JlSQ6u7V2tGQ==">CgMxLjAyCGguZ2pkZ3hzOAByITFlTnZHOXZ1UlhWWEltS05KR0JLbldMV3RNaVNGMjgzTQ==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1774</Characters>
  <Application>Microsoft Office Word</Application>
  <DocSecurity>0</DocSecurity>
  <Lines>31</Lines>
  <Paragraphs>18</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2024-03-26T04:34:00Z</dcterms:created>
  <dcterms:modified xsi:type="dcterms:W3CDTF">2024-03-27T02:56:00Z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0c4f2359c90ca0cf176202f77be241d4dd0432e93033373aeae480f5f097fdfa</vt:lpwstr>
  </property>
</Properties>
</file>