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tabs>
          <w:tab w:val="left" w:pos="5198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E5BEE">
        <w:rPr>
          <w:rFonts w:ascii="Arial" w:hAnsi="Arial" w:cs="Arial"/>
          <w:b/>
          <w:color w:val="010000"/>
          <w:sz w:val="20"/>
        </w:rPr>
        <w:t>DVC: Board Resolution</w:t>
      </w:r>
    </w:p>
    <w:p w14:paraId="00000002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tabs>
          <w:tab w:val="left" w:pos="51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On March 25, 2024, Hai Phong Port Trading And Services Joint Stock Company announced Resolution No. 03/NQ-HDQT as follows:</w:t>
      </w:r>
    </w:p>
    <w:p w14:paraId="00000003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‎‎Article 1. Approve the documents for the Annual General Meeting of Shareholders 2024:</w:t>
      </w:r>
    </w:p>
    <w:p w14:paraId="00000004" w14:textId="4885210B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Report on production and business results in 2023. Production and business plan for 2024</w:t>
      </w:r>
      <w:r w:rsidR="00CE5BEE" w:rsidRPr="00CE5BEE">
        <w:rPr>
          <w:rFonts w:ascii="Arial" w:hAnsi="Arial" w:cs="Arial"/>
          <w:color w:val="010000"/>
          <w:sz w:val="20"/>
        </w:rPr>
        <w:t>.</w:t>
      </w:r>
      <w:r w:rsidRPr="00CE5BEE">
        <w:rPr>
          <w:rFonts w:ascii="Arial" w:hAnsi="Arial" w:cs="Arial"/>
          <w:color w:val="010000"/>
          <w:sz w:val="20"/>
        </w:rPr>
        <w:t xml:space="preserve"> Profit distribution plan in 2023</w:t>
      </w:r>
      <w:r w:rsidR="00CE5BEE" w:rsidRPr="00CE5BEE">
        <w:rPr>
          <w:rFonts w:ascii="Arial" w:hAnsi="Arial" w:cs="Arial"/>
          <w:color w:val="010000"/>
          <w:sz w:val="20"/>
        </w:rPr>
        <w:t>.</w:t>
      </w:r>
      <w:r w:rsidRPr="00CE5BEE">
        <w:rPr>
          <w:rFonts w:ascii="Arial" w:hAnsi="Arial" w:cs="Arial"/>
          <w:color w:val="010000"/>
          <w:sz w:val="20"/>
        </w:rPr>
        <w:t xml:space="preserve"> Remuneration of the Board of Directors and the Supervisory Board in 2023.</w:t>
      </w:r>
    </w:p>
    <w:p w14:paraId="00000005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Report of the Board of Directors for the 2019-2024 term</w:t>
      </w:r>
    </w:p>
    <w:p w14:paraId="00000006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Audited Financial Statements 2023</w:t>
      </w:r>
    </w:p>
    <w:p w14:paraId="00000007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Report of the Supervisory Board in 2023 Report to the Supervisory Board for the 2019-2024 term</w:t>
      </w:r>
    </w:p>
    <w:p w14:paraId="00000008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Proposal on approving the list of audit companies for 2024</w:t>
      </w:r>
    </w:p>
    <w:p w14:paraId="00000009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Proposal on the remuneration of the Board of Directors and the Supervisory Board in 2024</w:t>
      </w:r>
    </w:p>
    <w:p w14:paraId="0000000A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Proposal on the amendments and supplements to the Company's Charter</w:t>
      </w:r>
    </w:p>
    <w:p w14:paraId="0000000B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Proposal on amendments and supplements to the Internal Regulations on Corporate Governance</w:t>
      </w:r>
    </w:p>
    <w:p w14:paraId="0000000C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Proposal on personnel plan for the Board of Directors and the Supervisory Board for the 2024-2029 term</w:t>
      </w:r>
    </w:p>
    <w:p w14:paraId="0000000D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Information on candidates for the Board of Directors and the Supervisory Board for the 2024-2029 term</w:t>
      </w:r>
    </w:p>
    <w:p w14:paraId="0000000E" w14:textId="365174F8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Meeting agenda</w:t>
      </w:r>
    </w:p>
    <w:p w14:paraId="0000000F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Notice of meeting invitation</w:t>
      </w:r>
    </w:p>
    <w:p w14:paraId="00000010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Confirmation of meeting attendance/authorization</w:t>
      </w:r>
    </w:p>
    <w:p w14:paraId="00000011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Rules for voting on the contents of the Meeting;</w:t>
      </w:r>
    </w:p>
    <w:p w14:paraId="00000012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Regulations on election of members of the Board of Directors and the Supervisory Board for the 2024-2029 term</w:t>
      </w:r>
    </w:p>
    <w:p w14:paraId="00000013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Voting cards</w:t>
      </w:r>
    </w:p>
    <w:p w14:paraId="00000014" w14:textId="2F93ED30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Vot</w:t>
      </w:r>
      <w:r w:rsidR="00CE5BEE" w:rsidRPr="00CE5BEE">
        <w:rPr>
          <w:rFonts w:ascii="Arial" w:hAnsi="Arial" w:cs="Arial"/>
          <w:color w:val="010000"/>
          <w:sz w:val="20"/>
        </w:rPr>
        <w:t>es</w:t>
      </w:r>
      <w:r w:rsidRPr="00CE5BEE">
        <w:rPr>
          <w:rFonts w:ascii="Arial" w:hAnsi="Arial" w:cs="Arial"/>
          <w:color w:val="010000"/>
          <w:sz w:val="20"/>
        </w:rPr>
        <w:t xml:space="preserve"> for members of the Board of Directors and the Supervisory Board for the 2024-2029 term</w:t>
      </w:r>
    </w:p>
    <w:p w14:paraId="00000015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Draft Minutes</w:t>
      </w:r>
    </w:p>
    <w:p w14:paraId="00000016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Draft General Mandate</w:t>
      </w:r>
    </w:p>
    <w:p w14:paraId="00000017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Other documents</w:t>
      </w:r>
    </w:p>
    <w:p w14:paraId="00000018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‎‎Article 2. The organization time of the Annual General Meeting of Shareholders 2024 as follows:</w:t>
      </w:r>
    </w:p>
    <w:p w14:paraId="00000019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Expected implementation time announced in Board Resolution No. 02/NQ-HDQT dated February 5, 2024: April 26, 2024</w:t>
      </w:r>
    </w:p>
    <w:p w14:paraId="0000001A" w14:textId="77777777" w:rsidR="00A77615" w:rsidRPr="00CE5BEE" w:rsidRDefault="00491E47" w:rsidP="00491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Implementation time: April 20, 2024</w:t>
      </w:r>
    </w:p>
    <w:p w14:paraId="0000001B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lastRenderedPageBreak/>
        <w:t>‎‎Article 3. Assign the General Manager to direct departments, and units to implement the contents of the Resolution.</w:t>
      </w:r>
    </w:p>
    <w:p w14:paraId="0000001C" w14:textId="77777777" w:rsidR="00A77615" w:rsidRPr="00CE5BEE" w:rsidRDefault="00491E47" w:rsidP="00491E4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E5BEE">
        <w:rPr>
          <w:rFonts w:ascii="Arial" w:hAnsi="Arial" w:cs="Arial"/>
          <w:color w:val="010000"/>
          <w:sz w:val="20"/>
        </w:rPr>
        <w:t>‎‎Article 4. The Board of Directors, the Board of Management, the Supervisory Board, and Heads of departments and units are responsible for implementing this Resolution.</w:t>
      </w:r>
    </w:p>
    <w:sectPr w:rsidR="00A77615" w:rsidRPr="00CE5BEE" w:rsidSect="00491E4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3629F"/>
    <w:multiLevelType w:val="multilevel"/>
    <w:tmpl w:val="6D9C6AA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15"/>
    <w:rsid w:val="00491E47"/>
    <w:rsid w:val="00A77615"/>
    <w:rsid w:val="00C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D4D6B"/>
  <w15:docId w15:val="{1E609434-4AD7-4634-A033-3A46C36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50" w:lineRule="auto"/>
      <w:ind w:left="620" w:firstLine="3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2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firstLine="580"/>
    </w:pPr>
    <w:rPr>
      <w:rFonts w:ascii="Times New Roman" w:eastAsia="Times New Roman" w:hAnsi="Times New Roman" w:cs="Times New Roman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YXE5YdWoR2LpcCzUfntfj13pg==">CgMxLjA4AHIhMTRyMDlSYnNTX3BNQVJ1NWhsWE1SREFZYVFJUG9pYThU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1741</Characters>
  <Application>Microsoft Office Word</Application>
  <DocSecurity>0</DocSecurity>
  <Lines>35</Lines>
  <Paragraphs>32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Minh Hiếu Kiều</cp:lastModifiedBy>
  <cp:revision>3</cp:revision>
  <dcterms:created xsi:type="dcterms:W3CDTF">2024-03-27T05:24:00Z</dcterms:created>
  <dcterms:modified xsi:type="dcterms:W3CDTF">2024-03-28T00:06:00Z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f0aa1aba6a7dc763296e145ce7172b5e4de2f7e42af8b096b8600f6bd4b7e777</vt:lpwstr>
  </property>
</Properties>
</file>