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8B1BC" w14:textId="657211E2"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b/>
          <w:color w:val="010000"/>
          <w:sz w:val="20"/>
          <w:szCs w:val="22"/>
        </w:rPr>
      </w:pPr>
      <w:r w:rsidRPr="00FC4AAC">
        <w:rPr>
          <w:rFonts w:ascii="Arial" w:hAnsi="Arial" w:cs="Arial"/>
          <w:b/>
          <w:color w:val="010000"/>
          <w:sz w:val="20"/>
        </w:rPr>
        <w:t>DWC: Explanation of profit after tax in the Audited Financial Statements 2023</w:t>
      </w:r>
      <w:r w:rsidR="00FC4AAC" w:rsidRPr="00FC4AAC">
        <w:rPr>
          <w:rFonts w:ascii="Arial" w:hAnsi="Arial" w:cs="Arial"/>
          <w:b/>
          <w:color w:val="010000"/>
          <w:sz w:val="20"/>
        </w:rPr>
        <w:t xml:space="preserve"> changing by 10% or more compared to that of the Audited Financial Statements 2022</w:t>
      </w:r>
    </w:p>
    <w:p w14:paraId="50474FFD" w14:textId="04B8BCF2"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 xml:space="preserve">On March 25, 2024, </w:t>
      </w:r>
      <w:proofErr w:type="spellStart"/>
      <w:r w:rsidRPr="00FC4AAC">
        <w:rPr>
          <w:rFonts w:ascii="Arial" w:hAnsi="Arial" w:cs="Arial"/>
          <w:color w:val="010000"/>
          <w:sz w:val="20"/>
        </w:rPr>
        <w:t>DakLak</w:t>
      </w:r>
      <w:proofErr w:type="spellEnd"/>
      <w:r w:rsidRPr="00FC4AAC">
        <w:rPr>
          <w:rFonts w:ascii="Arial" w:hAnsi="Arial" w:cs="Arial"/>
          <w:color w:val="010000"/>
          <w:sz w:val="20"/>
        </w:rPr>
        <w:t xml:space="preserve"> Water Supply Joint Stock Company announced Official Dispatch No. 62/2024/CV-DWC on the explanation of profit after tax in the Audited Financial Statements 2023 changing by 10%</w:t>
      </w:r>
      <w:r w:rsidR="00FC4AAC" w:rsidRPr="00FC4AAC">
        <w:rPr>
          <w:rFonts w:ascii="Arial" w:hAnsi="Arial" w:cs="Arial"/>
          <w:color w:val="010000"/>
          <w:sz w:val="20"/>
        </w:rPr>
        <w:t xml:space="preserve"> or more compared to that of the Audited Financial Statements 2022 </w:t>
      </w:r>
      <w:r w:rsidRPr="00FC4AAC">
        <w:rPr>
          <w:rFonts w:ascii="Arial" w:hAnsi="Arial" w:cs="Arial"/>
          <w:color w:val="010000"/>
          <w:sz w:val="20"/>
        </w:rPr>
        <w:t xml:space="preserve">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5"/>
        <w:gridCol w:w="2445"/>
        <w:gridCol w:w="1672"/>
        <w:gridCol w:w="1672"/>
        <w:gridCol w:w="1603"/>
        <w:gridCol w:w="979"/>
      </w:tblGrid>
      <w:tr w:rsidR="00EB1C29" w:rsidRPr="00FC4AAC" w14:paraId="100028CD" w14:textId="77777777" w:rsidTr="00FC4AAC">
        <w:tc>
          <w:tcPr>
            <w:tcW w:w="358" w:type="pct"/>
            <w:shd w:val="clear" w:color="auto" w:fill="auto"/>
            <w:tcMar>
              <w:top w:w="0" w:type="dxa"/>
              <w:bottom w:w="0" w:type="dxa"/>
            </w:tcMar>
            <w:vAlign w:val="center"/>
          </w:tcPr>
          <w:p w14:paraId="3FD90AC5"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No.</w:t>
            </w:r>
          </w:p>
        </w:tc>
        <w:tc>
          <w:tcPr>
            <w:tcW w:w="1356" w:type="pct"/>
            <w:shd w:val="clear" w:color="auto" w:fill="auto"/>
            <w:tcMar>
              <w:top w:w="0" w:type="dxa"/>
              <w:bottom w:w="0" w:type="dxa"/>
            </w:tcMar>
            <w:vAlign w:val="center"/>
          </w:tcPr>
          <w:p w14:paraId="047EEDC7"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Target</w:t>
            </w:r>
          </w:p>
        </w:tc>
        <w:tc>
          <w:tcPr>
            <w:tcW w:w="927" w:type="pct"/>
            <w:shd w:val="clear" w:color="auto" w:fill="auto"/>
            <w:tcMar>
              <w:top w:w="0" w:type="dxa"/>
              <w:bottom w:w="0" w:type="dxa"/>
            </w:tcMar>
            <w:vAlign w:val="center"/>
          </w:tcPr>
          <w:p w14:paraId="1474A657"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2023</w:t>
            </w:r>
          </w:p>
        </w:tc>
        <w:tc>
          <w:tcPr>
            <w:tcW w:w="927" w:type="pct"/>
            <w:shd w:val="clear" w:color="auto" w:fill="auto"/>
            <w:tcMar>
              <w:top w:w="0" w:type="dxa"/>
              <w:bottom w:w="0" w:type="dxa"/>
            </w:tcMar>
            <w:vAlign w:val="center"/>
          </w:tcPr>
          <w:p w14:paraId="5A1E102D"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2022</w:t>
            </w:r>
          </w:p>
        </w:tc>
        <w:tc>
          <w:tcPr>
            <w:tcW w:w="889" w:type="pct"/>
            <w:shd w:val="clear" w:color="auto" w:fill="auto"/>
            <w:tcMar>
              <w:top w:w="0" w:type="dxa"/>
              <w:bottom w:w="0" w:type="dxa"/>
            </w:tcMar>
            <w:vAlign w:val="center"/>
          </w:tcPr>
          <w:p w14:paraId="4E5F6D82"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Difference</w:t>
            </w:r>
          </w:p>
        </w:tc>
        <w:tc>
          <w:tcPr>
            <w:tcW w:w="543" w:type="pct"/>
            <w:shd w:val="clear" w:color="auto" w:fill="auto"/>
            <w:tcMar>
              <w:top w:w="0" w:type="dxa"/>
              <w:bottom w:w="0" w:type="dxa"/>
            </w:tcMar>
            <w:vAlign w:val="center"/>
          </w:tcPr>
          <w:p w14:paraId="3DF8E1ED"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Rate</w:t>
            </w:r>
          </w:p>
        </w:tc>
      </w:tr>
      <w:tr w:rsidR="00EB1C29" w:rsidRPr="00FC4AAC" w14:paraId="692468CE" w14:textId="77777777" w:rsidTr="00FC4AAC">
        <w:tc>
          <w:tcPr>
            <w:tcW w:w="358" w:type="pct"/>
            <w:shd w:val="clear" w:color="auto" w:fill="auto"/>
            <w:tcMar>
              <w:top w:w="0" w:type="dxa"/>
              <w:bottom w:w="0" w:type="dxa"/>
            </w:tcMar>
            <w:vAlign w:val="center"/>
          </w:tcPr>
          <w:p w14:paraId="712A02EE"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1</w:t>
            </w:r>
          </w:p>
        </w:tc>
        <w:tc>
          <w:tcPr>
            <w:tcW w:w="1356" w:type="pct"/>
            <w:shd w:val="clear" w:color="auto" w:fill="auto"/>
            <w:tcMar>
              <w:top w:w="0" w:type="dxa"/>
              <w:bottom w:w="0" w:type="dxa"/>
            </w:tcMar>
            <w:vAlign w:val="center"/>
          </w:tcPr>
          <w:p w14:paraId="73BF6915"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Total revenue from goods sales</w:t>
            </w:r>
          </w:p>
        </w:tc>
        <w:tc>
          <w:tcPr>
            <w:tcW w:w="927" w:type="pct"/>
            <w:shd w:val="clear" w:color="auto" w:fill="auto"/>
            <w:tcMar>
              <w:top w:w="0" w:type="dxa"/>
              <w:bottom w:w="0" w:type="dxa"/>
            </w:tcMar>
            <w:vAlign w:val="center"/>
          </w:tcPr>
          <w:p w14:paraId="112F37F4"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228,000,099,056</w:t>
            </w:r>
          </w:p>
        </w:tc>
        <w:tc>
          <w:tcPr>
            <w:tcW w:w="927" w:type="pct"/>
            <w:shd w:val="clear" w:color="auto" w:fill="auto"/>
            <w:tcMar>
              <w:top w:w="0" w:type="dxa"/>
              <w:bottom w:w="0" w:type="dxa"/>
            </w:tcMar>
            <w:vAlign w:val="center"/>
          </w:tcPr>
          <w:p w14:paraId="5B823FB7"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189,597,809,618</w:t>
            </w:r>
          </w:p>
        </w:tc>
        <w:tc>
          <w:tcPr>
            <w:tcW w:w="889" w:type="pct"/>
            <w:shd w:val="clear" w:color="auto" w:fill="auto"/>
            <w:tcMar>
              <w:top w:w="0" w:type="dxa"/>
              <w:bottom w:w="0" w:type="dxa"/>
            </w:tcMar>
            <w:vAlign w:val="center"/>
          </w:tcPr>
          <w:p w14:paraId="2ED33289"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38,402,289,438</w:t>
            </w:r>
          </w:p>
        </w:tc>
        <w:tc>
          <w:tcPr>
            <w:tcW w:w="543" w:type="pct"/>
            <w:shd w:val="clear" w:color="auto" w:fill="auto"/>
            <w:tcMar>
              <w:top w:w="0" w:type="dxa"/>
              <w:bottom w:w="0" w:type="dxa"/>
            </w:tcMar>
            <w:vAlign w:val="center"/>
          </w:tcPr>
          <w:p w14:paraId="7746908D"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16.84%</w:t>
            </w:r>
          </w:p>
        </w:tc>
      </w:tr>
      <w:tr w:rsidR="00EB1C29" w:rsidRPr="00FC4AAC" w14:paraId="591AD683" w14:textId="77777777" w:rsidTr="00FC4AAC">
        <w:tc>
          <w:tcPr>
            <w:tcW w:w="358" w:type="pct"/>
            <w:shd w:val="clear" w:color="auto" w:fill="auto"/>
            <w:tcMar>
              <w:top w:w="0" w:type="dxa"/>
              <w:bottom w:w="0" w:type="dxa"/>
            </w:tcMar>
            <w:vAlign w:val="center"/>
          </w:tcPr>
          <w:p w14:paraId="34D5A325"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2</w:t>
            </w:r>
          </w:p>
        </w:tc>
        <w:tc>
          <w:tcPr>
            <w:tcW w:w="1356" w:type="pct"/>
            <w:shd w:val="clear" w:color="auto" w:fill="auto"/>
            <w:tcMar>
              <w:top w:w="0" w:type="dxa"/>
              <w:bottom w:w="0" w:type="dxa"/>
            </w:tcMar>
            <w:vAlign w:val="center"/>
          </w:tcPr>
          <w:p w14:paraId="02E08309"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Total expense</w:t>
            </w:r>
          </w:p>
        </w:tc>
        <w:tc>
          <w:tcPr>
            <w:tcW w:w="927" w:type="pct"/>
            <w:shd w:val="clear" w:color="auto" w:fill="auto"/>
            <w:tcMar>
              <w:top w:w="0" w:type="dxa"/>
              <w:bottom w:w="0" w:type="dxa"/>
            </w:tcMar>
            <w:vAlign w:val="center"/>
          </w:tcPr>
          <w:p w14:paraId="7A0F9368"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212,863,082,088</w:t>
            </w:r>
          </w:p>
        </w:tc>
        <w:tc>
          <w:tcPr>
            <w:tcW w:w="927" w:type="pct"/>
            <w:shd w:val="clear" w:color="auto" w:fill="auto"/>
            <w:tcMar>
              <w:top w:w="0" w:type="dxa"/>
              <w:bottom w:w="0" w:type="dxa"/>
            </w:tcMar>
            <w:vAlign w:val="center"/>
          </w:tcPr>
          <w:p w14:paraId="42970441"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204,974,239,134</w:t>
            </w:r>
          </w:p>
        </w:tc>
        <w:tc>
          <w:tcPr>
            <w:tcW w:w="889" w:type="pct"/>
            <w:shd w:val="clear" w:color="auto" w:fill="auto"/>
            <w:tcMar>
              <w:top w:w="0" w:type="dxa"/>
              <w:bottom w:w="0" w:type="dxa"/>
            </w:tcMar>
            <w:vAlign w:val="center"/>
          </w:tcPr>
          <w:p w14:paraId="368B0BC1"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7,888,842,954</w:t>
            </w:r>
          </w:p>
        </w:tc>
        <w:tc>
          <w:tcPr>
            <w:tcW w:w="543" w:type="pct"/>
            <w:shd w:val="clear" w:color="auto" w:fill="auto"/>
            <w:tcMar>
              <w:top w:w="0" w:type="dxa"/>
              <w:bottom w:w="0" w:type="dxa"/>
            </w:tcMar>
            <w:vAlign w:val="center"/>
          </w:tcPr>
          <w:p w14:paraId="0F4EB24C"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3.71%</w:t>
            </w:r>
          </w:p>
        </w:tc>
      </w:tr>
      <w:tr w:rsidR="00EB1C29" w:rsidRPr="00FC4AAC" w14:paraId="5DDBD596" w14:textId="77777777" w:rsidTr="00FC4AAC">
        <w:tc>
          <w:tcPr>
            <w:tcW w:w="358" w:type="pct"/>
            <w:shd w:val="clear" w:color="auto" w:fill="auto"/>
            <w:tcMar>
              <w:top w:w="0" w:type="dxa"/>
              <w:bottom w:w="0" w:type="dxa"/>
            </w:tcMar>
            <w:vAlign w:val="center"/>
          </w:tcPr>
          <w:p w14:paraId="75A455AD"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3</w:t>
            </w:r>
          </w:p>
        </w:tc>
        <w:tc>
          <w:tcPr>
            <w:tcW w:w="1356" w:type="pct"/>
            <w:shd w:val="clear" w:color="auto" w:fill="auto"/>
            <w:tcMar>
              <w:top w:w="0" w:type="dxa"/>
              <w:bottom w:w="0" w:type="dxa"/>
            </w:tcMar>
            <w:vAlign w:val="center"/>
          </w:tcPr>
          <w:p w14:paraId="3C77B1E1"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Profit after tax</w:t>
            </w:r>
          </w:p>
        </w:tc>
        <w:tc>
          <w:tcPr>
            <w:tcW w:w="927" w:type="pct"/>
            <w:shd w:val="clear" w:color="auto" w:fill="auto"/>
            <w:tcMar>
              <w:top w:w="0" w:type="dxa"/>
              <w:bottom w:w="0" w:type="dxa"/>
            </w:tcMar>
            <w:vAlign w:val="center"/>
          </w:tcPr>
          <w:p w14:paraId="56EFCB18"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15,137,016,968</w:t>
            </w:r>
          </w:p>
        </w:tc>
        <w:tc>
          <w:tcPr>
            <w:tcW w:w="927" w:type="pct"/>
            <w:shd w:val="clear" w:color="auto" w:fill="auto"/>
            <w:tcMar>
              <w:top w:w="0" w:type="dxa"/>
              <w:bottom w:w="0" w:type="dxa"/>
            </w:tcMar>
            <w:vAlign w:val="center"/>
          </w:tcPr>
          <w:p w14:paraId="484F4710"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-15,376,429,516</w:t>
            </w:r>
          </w:p>
        </w:tc>
        <w:tc>
          <w:tcPr>
            <w:tcW w:w="889" w:type="pct"/>
            <w:shd w:val="clear" w:color="auto" w:fill="auto"/>
            <w:tcMar>
              <w:top w:w="0" w:type="dxa"/>
              <w:bottom w:w="0" w:type="dxa"/>
            </w:tcMar>
            <w:vAlign w:val="center"/>
          </w:tcPr>
          <w:p w14:paraId="24660782"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30,513,446,484</w:t>
            </w:r>
          </w:p>
        </w:tc>
        <w:tc>
          <w:tcPr>
            <w:tcW w:w="543" w:type="pct"/>
            <w:shd w:val="clear" w:color="auto" w:fill="auto"/>
            <w:tcMar>
              <w:top w:w="0" w:type="dxa"/>
              <w:bottom w:w="0" w:type="dxa"/>
            </w:tcMar>
            <w:vAlign w:val="center"/>
          </w:tcPr>
          <w:p w14:paraId="793ABFC5" w14:textId="77777777"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201.58%</w:t>
            </w:r>
          </w:p>
        </w:tc>
      </w:tr>
    </w:tbl>
    <w:p w14:paraId="559DC06B" w14:textId="15918750" w:rsidR="00EB1C29" w:rsidRPr="00FC4AAC" w:rsidRDefault="00A747C8" w:rsidP="00FC4AAC">
      <w:pPr>
        <w:pBdr>
          <w:top w:val="nil"/>
          <w:left w:val="nil"/>
          <w:bottom w:val="nil"/>
          <w:right w:val="nil"/>
          <w:between w:val="nil"/>
        </w:pBdr>
        <w:tabs>
          <w:tab w:val="left" w:pos="90"/>
          <w:tab w:val="left" w:pos="270"/>
          <w:tab w:val="left" w:pos="4810"/>
          <w:tab w:val="left" w:pos="5232"/>
          <w:tab w:val="left" w:pos="6667"/>
        </w:tabs>
        <w:spacing w:after="120" w:line="360" w:lineRule="auto"/>
        <w:rPr>
          <w:rFonts w:ascii="Arial" w:eastAsia="Arial" w:hAnsi="Arial" w:cs="Arial"/>
          <w:color w:val="010000"/>
          <w:sz w:val="20"/>
          <w:szCs w:val="22"/>
        </w:rPr>
      </w:pPr>
      <w:r w:rsidRPr="00FC4AAC">
        <w:rPr>
          <w:rFonts w:ascii="Arial" w:hAnsi="Arial" w:cs="Arial"/>
          <w:color w:val="010000"/>
          <w:sz w:val="20"/>
        </w:rPr>
        <w:t>Profit after tax in the Financial Statements 2022 has a loss of VND 15,376,429,516 and transferred to the Financial Statements 2023, profit after tax has a profit of VND 15,137,016,968, the difference in profit after tax this period compared to that of the previous period is VND 30,513,446,484 (equivalent to an increase of 201.58%).</w:t>
      </w:r>
    </w:p>
    <w:p w14:paraId="1FEBBC6A" w14:textId="75DDA134" w:rsidR="00EB1C29" w:rsidRPr="00FC4AAC" w:rsidRDefault="00A747C8" w:rsidP="00FC4AAC">
      <w:pPr>
        <w:pBdr>
          <w:top w:val="nil"/>
          <w:left w:val="nil"/>
          <w:bottom w:val="nil"/>
          <w:right w:val="nil"/>
          <w:between w:val="nil"/>
        </w:pBdr>
        <w:tabs>
          <w:tab w:val="left" w:pos="90"/>
          <w:tab w:val="left" w:pos="270"/>
        </w:tabs>
        <w:spacing w:after="120" w:line="360" w:lineRule="auto"/>
        <w:rPr>
          <w:rFonts w:ascii="Arial" w:eastAsia="Arial" w:hAnsi="Arial" w:cs="Arial"/>
          <w:color w:val="010000"/>
          <w:sz w:val="20"/>
          <w:szCs w:val="22"/>
        </w:rPr>
      </w:pPr>
      <w:r w:rsidRPr="00FC4AAC">
        <w:rPr>
          <w:rFonts w:ascii="Arial" w:hAnsi="Arial" w:cs="Arial"/>
          <w:color w:val="010000"/>
          <w:sz w:val="20"/>
        </w:rPr>
        <w:t xml:space="preserve">Because the Company has been approved by the People's Committee of </w:t>
      </w:r>
      <w:proofErr w:type="spellStart"/>
      <w:r w:rsidRPr="00FC4AAC">
        <w:rPr>
          <w:rFonts w:ascii="Arial" w:hAnsi="Arial" w:cs="Arial"/>
          <w:color w:val="010000"/>
          <w:sz w:val="20"/>
        </w:rPr>
        <w:t>Dak</w:t>
      </w:r>
      <w:proofErr w:type="spellEnd"/>
      <w:r w:rsidRPr="00FC4AAC">
        <w:rPr>
          <w:rFonts w:ascii="Arial" w:hAnsi="Arial" w:cs="Arial"/>
          <w:color w:val="010000"/>
          <w:sz w:val="20"/>
        </w:rPr>
        <w:t xml:space="preserve"> Lak Province to increase the selling price of clean water from April 2023, revenue in 2023 increase</w:t>
      </w:r>
      <w:r w:rsidR="00D23C7F" w:rsidRPr="00FC4AAC">
        <w:rPr>
          <w:rFonts w:ascii="Arial" w:hAnsi="Arial" w:cs="Arial"/>
          <w:color w:val="010000"/>
          <w:sz w:val="20"/>
        </w:rPr>
        <w:t>d</w:t>
      </w:r>
      <w:r w:rsidRPr="00FC4AAC">
        <w:rPr>
          <w:rFonts w:ascii="Arial" w:hAnsi="Arial" w:cs="Arial"/>
          <w:color w:val="010000"/>
          <w:sz w:val="20"/>
        </w:rPr>
        <w:t xml:space="preserve"> compared to revenue in 2022 by VND 38,402</w:t>
      </w:r>
      <w:r w:rsidR="00275D2B">
        <w:rPr>
          <w:rFonts w:ascii="Arial" w:hAnsi="Arial" w:cs="Arial"/>
          <w:color w:val="010000"/>
          <w:sz w:val="20"/>
        </w:rPr>
        <w:t>,289,438 (equivalent to 16.84%). O</w:t>
      </w:r>
      <w:r w:rsidRPr="00FC4AAC">
        <w:rPr>
          <w:rFonts w:ascii="Arial" w:hAnsi="Arial" w:cs="Arial"/>
          <w:color w:val="010000"/>
          <w:sz w:val="20"/>
        </w:rPr>
        <w:t xml:space="preserve">n the other hand, the amount of commercial water supplied to customers is high, and customer demand is higher than that of the same period last year. </w:t>
      </w:r>
      <w:r w:rsidR="00275D2B">
        <w:rPr>
          <w:rFonts w:ascii="Arial" w:hAnsi="Arial" w:cs="Arial"/>
          <w:color w:val="010000"/>
          <w:sz w:val="20"/>
        </w:rPr>
        <w:t>T</w:t>
      </w:r>
      <w:bookmarkStart w:id="0" w:name="_GoBack"/>
      <w:bookmarkEnd w:id="0"/>
      <w:r w:rsidRPr="00FC4AAC">
        <w:rPr>
          <w:rFonts w:ascii="Arial" w:hAnsi="Arial" w:cs="Arial"/>
          <w:color w:val="010000"/>
          <w:sz w:val="20"/>
        </w:rPr>
        <w:t xml:space="preserve">he Company has an outstanding loan from ADB with the amount of USD 15,992,893.33. However, on December 31, 2023, the USD exchange rate increased slightly, leading to an exchange rate difference loss due to the reassessment in 2023 with the amount </w:t>
      </w:r>
      <w:r w:rsidR="00D23C7F" w:rsidRPr="00FC4AAC">
        <w:rPr>
          <w:rFonts w:ascii="Arial" w:hAnsi="Arial" w:cs="Arial"/>
          <w:color w:val="010000"/>
          <w:sz w:val="20"/>
        </w:rPr>
        <w:t xml:space="preserve">of </w:t>
      </w:r>
      <w:r w:rsidRPr="00FC4AAC">
        <w:rPr>
          <w:rFonts w:ascii="Arial" w:hAnsi="Arial" w:cs="Arial"/>
          <w:color w:val="010000"/>
          <w:sz w:val="20"/>
        </w:rPr>
        <w:t>VND 10,680,872,788, while the exchange rate loss in 2022 is VND 14,163,441,022, a decrease of VND 3,482,568,234 (equivalent to a decrease of 32.61%). Therefore, the profit tax in the Audited Financial Statements 2023 changes by 10% or more compared to that of the Audited Financial Statements 2022.</w:t>
      </w:r>
    </w:p>
    <w:sectPr w:rsidR="00EB1C29" w:rsidRPr="00FC4AAC" w:rsidSect="00FC4AAC">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96D9C"/>
    <w:multiLevelType w:val="multilevel"/>
    <w:tmpl w:val="7432043A"/>
    <w:lvl w:ilvl="0">
      <w:start w:val="1"/>
      <w:numFmt w:val="decimal"/>
      <w:lvlText w:val="%1."/>
      <w:lvlJc w:val="left"/>
      <w:pPr>
        <w:ind w:left="0" w:firstLine="0"/>
      </w:pPr>
      <w:rPr>
        <w:rFonts w:ascii="Arial" w:eastAsia="Arial" w:hAnsi="Arial" w:cs="Arial"/>
        <w:b w:val="0"/>
        <w:i w:val="0"/>
        <w:smallCaps w:val="0"/>
        <w:strike w:val="0"/>
        <w:color w:val="161616"/>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29"/>
    <w:rsid w:val="00275D2B"/>
    <w:rsid w:val="00A747C8"/>
    <w:rsid w:val="00D23C7F"/>
    <w:rsid w:val="00EB1C29"/>
    <w:rsid w:val="00FC4AA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BEEDA"/>
  <w15:docId w15:val="{1E609434-4AD7-4634-A033-3A46C36A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10"/>
      <w:szCs w:val="1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161616"/>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61616"/>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61616"/>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61616"/>
      <w:sz w:val="22"/>
      <w:szCs w:val="22"/>
      <w:u w:val="none"/>
      <w:shd w:val="clear" w:color="auto" w:fill="auto"/>
    </w:rPr>
  </w:style>
  <w:style w:type="paragraph" w:customStyle="1" w:styleId="Bodytext20">
    <w:name w:val="Body text (2)"/>
    <w:basedOn w:val="Normal"/>
    <w:link w:val="Bodytext2"/>
    <w:pPr>
      <w:spacing w:line="151" w:lineRule="auto"/>
      <w:ind w:firstLine="20"/>
    </w:pPr>
    <w:rPr>
      <w:rFonts w:ascii="Arial" w:eastAsia="Arial" w:hAnsi="Arial" w:cs="Arial"/>
      <w:sz w:val="8"/>
      <w:szCs w:val="8"/>
    </w:rPr>
  </w:style>
  <w:style w:type="paragraph" w:customStyle="1" w:styleId="Bodytext30">
    <w:name w:val="Body text (3)"/>
    <w:basedOn w:val="Normal"/>
    <w:link w:val="Bodytext3"/>
    <w:pPr>
      <w:spacing w:line="180" w:lineRule="auto"/>
    </w:pPr>
    <w:rPr>
      <w:rFonts w:ascii="Arial" w:eastAsia="Arial" w:hAnsi="Arial" w:cs="Arial"/>
      <w:smallCaps/>
      <w:sz w:val="10"/>
      <w:szCs w:val="10"/>
    </w:rPr>
  </w:style>
  <w:style w:type="paragraph" w:customStyle="1" w:styleId="Bodytext40">
    <w:name w:val="Body text (4)"/>
    <w:basedOn w:val="Normal"/>
    <w:link w:val="Bodytext4"/>
    <w:pPr>
      <w:spacing w:line="209" w:lineRule="auto"/>
    </w:pPr>
    <w:rPr>
      <w:rFonts w:ascii="Arial" w:eastAsia="Arial" w:hAnsi="Arial" w:cs="Arial"/>
      <w:b/>
      <w:bCs/>
      <w:color w:val="161616"/>
      <w:sz w:val="12"/>
      <w:szCs w:val="12"/>
    </w:rPr>
  </w:style>
  <w:style w:type="paragraph" w:styleId="BodyText">
    <w:name w:val="Body Text"/>
    <w:basedOn w:val="Normal"/>
    <w:link w:val="BodyTextChar"/>
    <w:qFormat/>
    <w:pPr>
      <w:spacing w:line="266" w:lineRule="auto"/>
      <w:ind w:firstLine="140"/>
    </w:pPr>
    <w:rPr>
      <w:rFonts w:ascii="Times New Roman" w:eastAsia="Times New Roman" w:hAnsi="Times New Roman" w:cs="Times New Roman"/>
      <w:color w:val="161616"/>
      <w:sz w:val="22"/>
      <w:szCs w:val="22"/>
    </w:rPr>
  </w:style>
  <w:style w:type="paragraph" w:customStyle="1" w:styleId="Tablecaption0">
    <w:name w:val="Table caption"/>
    <w:basedOn w:val="Normal"/>
    <w:link w:val="Tablecaption"/>
    <w:rPr>
      <w:rFonts w:ascii="Times New Roman" w:eastAsia="Times New Roman" w:hAnsi="Times New Roman" w:cs="Times New Roman"/>
      <w:color w:val="161616"/>
      <w:sz w:val="22"/>
      <w:szCs w:val="22"/>
    </w:rPr>
  </w:style>
  <w:style w:type="paragraph" w:customStyle="1" w:styleId="Other0">
    <w:name w:val="Other"/>
    <w:basedOn w:val="Normal"/>
    <w:link w:val="Other"/>
    <w:pPr>
      <w:spacing w:line="266" w:lineRule="auto"/>
      <w:ind w:firstLine="140"/>
    </w:pPr>
    <w:rPr>
      <w:rFonts w:ascii="Times New Roman" w:eastAsia="Times New Roman" w:hAnsi="Times New Roman" w:cs="Times New Roman"/>
      <w:color w:val="161616"/>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aySNzS2Uo8NT9TXN83BIvzncZQ==">CgMxLjA4AHIhMU5qMWRqVVd5UHpISnRpSmV1Z25kWENnYzE3TndRNGJL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Trinh Ha Phuong</cp:lastModifiedBy>
  <cp:revision>6</cp:revision>
  <dcterms:created xsi:type="dcterms:W3CDTF">2024-03-27T04:49:00Z</dcterms:created>
  <dcterms:modified xsi:type="dcterms:W3CDTF">2024-03-28T09:29:00Z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b4973f7832d529585c612317d73437afc67ebe0ea92f218f9c635aedb30d2f8b</vt:lpwstr>
  </property>
</Properties>
</file>