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4994F" w14:textId="77777777" w:rsidR="00E511C7" w:rsidRPr="007F068D" w:rsidRDefault="00747ADB" w:rsidP="006C5D09">
      <w:pPr>
        <w:keepNext/>
        <w:pBdr>
          <w:top w:val="nil"/>
          <w:left w:val="nil"/>
          <w:bottom w:val="nil"/>
          <w:right w:val="nil"/>
          <w:between w:val="nil"/>
        </w:pBdr>
        <w:tabs>
          <w:tab w:val="left" w:pos="990"/>
          <w:tab w:val="left" w:pos="4853"/>
        </w:tabs>
        <w:spacing w:after="120" w:line="360" w:lineRule="auto"/>
        <w:jc w:val="both"/>
        <w:rPr>
          <w:rFonts w:ascii="Arial" w:eastAsia="Arial" w:hAnsi="Arial" w:cs="Arial"/>
          <w:b/>
          <w:color w:val="010000"/>
          <w:sz w:val="20"/>
          <w:szCs w:val="20"/>
        </w:rPr>
      </w:pPr>
      <w:r w:rsidRPr="007F068D">
        <w:rPr>
          <w:rFonts w:ascii="Arial" w:hAnsi="Arial" w:cs="Arial"/>
          <w:b/>
          <w:color w:val="010000"/>
          <w:sz w:val="20"/>
        </w:rPr>
        <w:t>GMA: Board Resolution</w:t>
      </w:r>
    </w:p>
    <w:p w14:paraId="598A50C7" w14:textId="73E09D66" w:rsidR="00E511C7" w:rsidRPr="007F068D" w:rsidRDefault="00747ADB" w:rsidP="006C5D09">
      <w:pPr>
        <w:keepNext/>
        <w:pBdr>
          <w:top w:val="nil"/>
          <w:left w:val="nil"/>
          <w:bottom w:val="nil"/>
          <w:right w:val="nil"/>
          <w:between w:val="nil"/>
        </w:pBdr>
        <w:tabs>
          <w:tab w:val="left" w:pos="990"/>
          <w:tab w:val="left" w:pos="4853"/>
        </w:tabs>
        <w:spacing w:after="120" w:line="360" w:lineRule="auto"/>
        <w:jc w:val="both"/>
        <w:rPr>
          <w:rFonts w:ascii="Arial" w:eastAsia="Arial" w:hAnsi="Arial" w:cs="Arial"/>
          <w:color w:val="010000"/>
          <w:sz w:val="20"/>
          <w:szCs w:val="20"/>
        </w:rPr>
      </w:pPr>
      <w:r w:rsidRPr="007F068D">
        <w:rPr>
          <w:rFonts w:ascii="Arial" w:hAnsi="Arial" w:cs="Arial"/>
          <w:color w:val="010000"/>
          <w:sz w:val="20"/>
        </w:rPr>
        <w:t>On March 25, 2024, G-AUTOMOBILE., JSC announced Resolution No. 03/2024/NQ/HDQT-GMA on the contents related to the organization of the Annual General Meeting of Shareholders 2024 as follows:</w:t>
      </w:r>
    </w:p>
    <w:p w14:paraId="2A49BD68" w14:textId="77777777" w:rsidR="00E511C7" w:rsidRPr="007F068D" w:rsidRDefault="00747ADB" w:rsidP="006C5D09">
      <w:pPr>
        <w:pBdr>
          <w:top w:val="nil"/>
          <w:left w:val="nil"/>
          <w:bottom w:val="nil"/>
          <w:right w:val="nil"/>
          <w:between w:val="nil"/>
        </w:pBdr>
        <w:tabs>
          <w:tab w:val="left" w:pos="990"/>
        </w:tabs>
        <w:spacing w:after="120" w:line="360" w:lineRule="auto"/>
        <w:jc w:val="both"/>
        <w:rPr>
          <w:rFonts w:ascii="Arial" w:eastAsia="Arial" w:hAnsi="Arial" w:cs="Arial"/>
          <w:color w:val="010000"/>
          <w:sz w:val="20"/>
          <w:szCs w:val="20"/>
        </w:rPr>
      </w:pPr>
      <w:r w:rsidRPr="007F068D">
        <w:rPr>
          <w:rFonts w:ascii="Arial" w:hAnsi="Arial" w:cs="Arial"/>
          <w:color w:val="010000"/>
          <w:sz w:val="20"/>
        </w:rPr>
        <w:t>‎‎Article 1. The Board of Directors approves the consolidated business plan for 2024, which will be presented at the Annual General Meeting of Shareholders 2024.</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51"/>
        <w:gridCol w:w="2566"/>
      </w:tblGrid>
      <w:tr w:rsidR="00E511C7" w:rsidRPr="007F068D" w14:paraId="24AFCBB7" w14:textId="77777777" w:rsidTr="00747ADB">
        <w:tc>
          <w:tcPr>
            <w:tcW w:w="3577" w:type="pct"/>
            <w:vMerge w:val="restart"/>
            <w:shd w:val="clear" w:color="auto" w:fill="auto"/>
            <w:tcMar>
              <w:top w:w="0" w:type="dxa"/>
              <w:bottom w:w="0" w:type="dxa"/>
            </w:tcMar>
            <w:vAlign w:val="center"/>
          </w:tcPr>
          <w:p w14:paraId="69F413D3" w14:textId="77777777" w:rsidR="00E511C7" w:rsidRPr="007F068D" w:rsidRDefault="00747ADB" w:rsidP="00747ADB">
            <w:pPr>
              <w:pBdr>
                <w:top w:val="nil"/>
                <w:left w:val="nil"/>
                <w:bottom w:val="nil"/>
                <w:right w:val="nil"/>
                <w:between w:val="nil"/>
              </w:pBdr>
              <w:tabs>
                <w:tab w:val="left" w:pos="990"/>
              </w:tabs>
              <w:spacing w:after="120" w:line="360" w:lineRule="auto"/>
              <w:jc w:val="center"/>
              <w:rPr>
                <w:rFonts w:ascii="Arial" w:eastAsia="Arial" w:hAnsi="Arial" w:cs="Arial"/>
                <w:color w:val="010000"/>
                <w:sz w:val="20"/>
                <w:szCs w:val="20"/>
              </w:rPr>
            </w:pPr>
            <w:r w:rsidRPr="007F068D">
              <w:rPr>
                <w:rFonts w:ascii="Arial" w:hAnsi="Arial" w:cs="Arial"/>
                <w:color w:val="010000"/>
                <w:sz w:val="20"/>
              </w:rPr>
              <w:t>Targets</w:t>
            </w:r>
          </w:p>
        </w:tc>
        <w:tc>
          <w:tcPr>
            <w:tcW w:w="1423" w:type="pct"/>
            <w:shd w:val="clear" w:color="auto" w:fill="auto"/>
            <w:tcMar>
              <w:top w:w="0" w:type="dxa"/>
              <w:bottom w:w="0" w:type="dxa"/>
            </w:tcMar>
            <w:vAlign w:val="center"/>
          </w:tcPr>
          <w:p w14:paraId="53A965B6" w14:textId="77777777" w:rsidR="00E511C7" w:rsidRPr="007F068D" w:rsidRDefault="00747ADB" w:rsidP="00747ADB">
            <w:pPr>
              <w:pBdr>
                <w:top w:val="nil"/>
                <w:left w:val="nil"/>
                <w:bottom w:val="nil"/>
                <w:right w:val="nil"/>
                <w:between w:val="nil"/>
              </w:pBdr>
              <w:tabs>
                <w:tab w:val="left" w:pos="990"/>
              </w:tabs>
              <w:spacing w:after="120" w:line="360" w:lineRule="auto"/>
              <w:jc w:val="center"/>
              <w:rPr>
                <w:rFonts w:ascii="Arial" w:eastAsia="Arial" w:hAnsi="Arial" w:cs="Arial"/>
                <w:color w:val="010000"/>
                <w:sz w:val="20"/>
                <w:szCs w:val="20"/>
              </w:rPr>
            </w:pPr>
            <w:r w:rsidRPr="007F068D">
              <w:rPr>
                <w:rFonts w:ascii="Arial" w:hAnsi="Arial" w:cs="Arial"/>
                <w:color w:val="010000"/>
                <w:sz w:val="20"/>
              </w:rPr>
              <w:t>2024 Plan</w:t>
            </w:r>
          </w:p>
        </w:tc>
      </w:tr>
      <w:tr w:rsidR="00E511C7" w:rsidRPr="007F068D" w14:paraId="37ECCA31" w14:textId="77777777" w:rsidTr="00747ADB">
        <w:tc>
          <w:tcPr>
            <w:tcW w:w="3577" w:type="pct"/>
            <w:vMerge/>
            <w:shd w:val="clear" w:color="auto" w:fill="auto"/>
            <w:tcMar>
              <w:top w:w="0" w:type="dxa"/>
              <w:bottom w:w="0" w:type="dxa"/>
            </w:tcMar>
            <w:vAlign w:val="center"/>
          </w:tcPr>
          <w:p w14:paraId="0726E1BB" w14:textId="77777777" w:rsidR="00E511C7" w:rsidRPr="007F068D" w:rsidRDefault="00E511C7" w:rsidP="00747ADB">
            <w:pPr>
              <w:pBdr>
                <w:top w:val="nil"/>
                <w:left w:val="nil"/>
                <w:bottom w:val="nil"/>
                <w:right w:val="nil"/>
                <w:between w:val="nil"/>
              </w:pBdr>
              <w:spacing w:after="120" w:line="360" w:lineRule="auto"/>
              <w:rPr>
                <w:rFonts w:ascii="Arial" w:eastAsia="Arial" w:hAnsi="Arial" w:cs="Arial"/>
                <w:color w:val="010000"/>
                <w:sz w:val="20"/>
                <w:szCs w:val="20"/>
              </w:rPr>
            </w:pPr>
          </w:p>
        </w:tc>
        <w:tc>
          <w:tcPr>
            <w:tcW w:w="1423" w:type="pct"/>
            <w:shd w:val="clear" w:color="auto" w:fill="auto"/>
            <w:tcMar>
              <w:top w:w="0" w:type="dxa"/>
              <w:bottom w:w="0" w:type="dxa"/>
            </w:tcMar>
            <w:vAlign w:val="center"/>
          </w:tcPr>
          <w:p w14:paraId="79AE89E3" w14:textId="77777777" w:rsidR="00E511C7" w:rsidRPr="007F068D" w:rsidRDefault="00747ADB" w:rsidP="00747ADB">
            <w:pPr>
              <w:pBdr>
                <w:top w:val="nil"/>
                <w:left w:val="nil"/>
                <w:bottom w:val="nil"/>
                <w:right w:val="nil"/>
                <w:between w:val="nil"/>
              </w:pBdr>
              <w:tabs>
                <w:tab w:val="left" w:pos="990"/>
              </w:tabs>
              <w:spacing w:after="120" w:line="360" w:lineRule="auto"/>
              <w:jc w:val="center"/>
              <w:rPr>
                <w:rFonts w:ascii="Arial" w:eastAsia="Arial" w:hAnsi="Arial" w:cs="Arial"/>
                <w:color w:val="010000"/>
                <w:sz w:val="20"/>
                <w:szCs w:val="20"/>
              </w:rPr>
            </w:pPr>
            <w:r w:rsidRPr="007F068D">
              <w:rPr>
                <w:rFonts w:ascii="Arial" w:hAnsi="Arial" w:cs="Arial"/>
                <w:color w:val="010000"/>
                <w:sz w:val="20"/>
              </w:rPr>
              <w:t>Value (Million VND)</w:t>
            </w:r>
          </w:p>
        </w:tc>
      </w:tr>
      <w:tr w:rsidR="00E511C7" w:rsidRPr="007F068D" w14:paraId="1AEEC925" w14:textId="77777777" w:rsidTr="00747ADB">
        <w:tc>
          <w:tcPr>
            <w:tcW w:w="3577" w:type="pct"/>
            <w:shd w:val="clear" w:color="auto" w:fill="auto"/>
            <w:tcMar>
              <w:top w:w="0" w:type="dxa"/>
              <w:bottom w:w="0" w:type="dxa"/>
            </w:tcMar>
            <w:vAlign w:val="center"/>
          </w:tcPr>
          <w:p w14:paraId="1215960A" w14:textId="77777777" w:rsidR="00E511C7" w:rsidRPr="007F068D" w:rsidRDefault="00747ADB" w:rsidP="00747ADB">
            <w:pPr>
              <w:pBdr>
                <w:top w:val="nil"/>
                <w:left w:val="nil"/>
                <w:bottom w:val="nil"/>
                <w:right w:val="nil"/>
                <w:between w:val="nil"/>
              </w:pBdr>
              <w:tabs>
                <w:tab w:val="left" w:pos="990"/>
              </w:tabs>
              <w:spacing w:after="120" w:line="360" w:lineRule="auto"/>
              <w:rPr>
                <w:rFonts w:ascii="Arial" w:eastAsia="Arial" w:hAnsi="Arial" w:cs="Arial"/>
                <w:color w:val="010000"/>
                <w:sz w:val="20"/>
                <w:szCs w:val="20"/>
              </w:rPr>
            </w:pPr>
            <w:r w:rsidRPr="007F068D">
              <w:rPr>
                <w:rFonts w:ascii="Arial" w:hAnsi="Arial" w:cs="Arial"/>
                <w:color w:val="010000"/>
                <w:sz w:val="20"/>
              </w:rPr>
              <w:t>Charter capital</w:t>
            </w:r>
          </w:p>
        </w:tc>
        <w:tc>
          <w:tcPr>
            <w:tcW w:w="1423" w:type="pct"/>
            <w:shd w:val="clear" w:color="auto" w:fill="auto"/>
            <w:tcMar>
              <w:top w:w="0" w:type="dxa"/>
              <w:bottom w:w="0" w:type="dxa"/>
            </w:tcMar>
            <w:vAlign w:val="center"/>
          </w:tcPr>
          <w:p w14:paraId="6129C81C" w14:textId="77777777" w:rsidR="00E511C7" w:rsidRPr="007F068D" w:rsidRDefault="00747ADB" w:rsidP="00747ADB">
            <w:pPr>
              <w:pBdr>
                <w:top w:val="nil"/>
                <w:left w:val="nil"/>
                <w:bottom w:val="nil"/>
                <w:right w:val="nil"/>
                <w:between w:val="nil"/>
              </w:pBdr>
              <w:tabs>
                <w:tab w:val="left" w:pos="990"/>
              </w:tabs>
              <w:spacing w:after="120" w:line="360" w:lineRule="auto"/>
              <w:jc w:val="right"/>
              <w:rPr>
                <w:rFonts w:ascii="Arial" w:eastAsia="Arial" w:hAnsi="Arial" w:cs="Arial"/>
                <w:color w:val="010000"/>
                <w:sz w:val="20"/>
                <w:szCs w:val="20"/>
              </w:rPr>
            </w:pPr>
            <w:r w:rsidRPr="007F068D">
              <w:rPr>
                <w:rFonts w:ascii="Arial" w:hAnsi="Arial" w:cs="Arial"/>
                <w:color w:val="010000"/>
                <w:sz w:val="20"/>
              </w:rPr>
              <w:t>199,999</w:t>
            </w:r>
          </w:p>
        </w:tc>
      </w:tr>
      <w:tr w:rsidR="00E511C7" w:rsidRPr="007F068D" w14:paraId="7E0270D6" w14:textId="77777777" w:rsidTr="00747ADB">
        <w:tc>
          <w:tcPr>
            <w:tcW w:w="3577" w:type="pct"/>
            <w:shd w:val="clear" w:color="auto" w:fill="auto"/>
            <w:tcMar>
              <w:top w:w="0" w:type="dxa"/>
              <w:bottom w:w="0" w:type="dxa"/>
            </w:tcMar>
            <w:vAlign w:val="center"/>
          </w:tcPr>
          <w:p w14:paraId="55A7444A" w14:textId="77777777" w:rsidR="00E511C7" w:rsidRPr="007F068D" w:rsidRDefault="00747ADB" w:rsidP="00747ADB">
            <w:pPr>
              <w:pBdr>
                <w:top w:val="nil"/>
                <w:left w:val="nil"/>
                <w:bottom w:val="nil"/>
                <w:right w:val="nil"/>
                <w:between w:val="nil"/>
              </w:pBdr>
              <w:tabs>
                <w:tab w:val="left" w:pos="990"/>
              </w:tabs>
              <w:spacing w:after="120" w:line="360" w:lineRule="auto"/>
              <w:rPr>
                <w:rFonts w:ascii="Arial" w:eastAsia="Arial" w:hAnsi="Arial" w:cs="Arial"/>
                <w:color w:val="010000"/>
                <w:sz w:val="20"/>
                <w:szCs w:val="20"/>
              </w:rPr>
            </w:pPr>
            <w:r w:rsidRPr="007F068D">
              <w:rPr>
                <w:rFonts w:ascii="Arial" w:hAnsi="Arial" w:cs="Arial"/>
                <w:color w:val="010000"/>
                <w:sz w:val="20"/>
              </w:rPr>
              <w:t>Revenue from goods sales and service provision</w:t>
            </w:r>
          </w:p>
        </w:tc>
        <w:tc>
          <w:tcPr>
            <w:tcW w:w="1423" w:type="pct"/>
            <w:shd w:val="clear" w:color="auto" w:fill="auto"/>
            <w:tcMar>
              <w:top w:w="0" w:type="dxa"/>
              <w:bottom w:w="0" w:type="dxa"/>
            </w:tcMar>
            <w:vAlign w:val="center"/>
          </w:tcPr>
          <w:p w14:paraId="0CF3BF66" w14:textId="77777777" w:rsidR="00E511C7" w:rsidRPr="007F068D" w:rsidRDefault="00747ADB" w:rsidP="00747ADB">
            <w:pPr>
              <w:pBdr>
                <w:top w:val="nil"/>
                <w:left w:val="nil"/>
                <w:bottom w:val="nil"/>
                <w:right w:val="nil"/>
                <w:between w:val="nil"/>
              </w:pBdr>
              <w:tabs>
                <w:tab w:val="left" w:pos="990"/>
              </w:tabs>
              <w:spacing w:after="120" w:line="360" w:lineRule="auto"/>
              <w:jc w:val="right"/>
              <w:rPr>
                <w:rFonts w:ascii="Arial" w:eastAsia="Arial" w:hAnsi="Arial" w:cs="Arial"/>
                <w:color w:val="010000"/>
                <w:sz w:val="20"/>
                <w:szCs w:val="20"/>
              </w:rPr>
            </w:pPr>
            <w:r w:rsidRPr="007F068D">
              <w:rPr>
                <w:rFonts w:ascii="Arial" w:hAnsi="Arial" w:cs="Arial"/>
                <w:color w:val="010000"/>
                <w:sz w:val="20"/>
              </w:rPr>
              <w:t>3,000,000</w:t>
            </w:r>
          </w:p>
        </w:tc>
      </w:tr>
      <w:tr w:rsidR="00E511C7" w:rsidRPr="007F068D" w14:paraId="3DD297F7" w14:textId="77777777" w:rsidTr="00747ADB">
        <w:tc>
          <w:tcPr>
            <w:tcW w:w="3577" w:type="pct"/>
            <w:shd w:val="clear" w:color="auto" w:fill="auto"/>
            <w:tcMar>
              <w:top w:w="0" w:type="dxa"/>
              <w:bottom w:w="0" w:type="dxa"/>
            </w:tcMar>
            <w:vAlign w:val="center"/>
          </w:tcPr>
          <w:p w14:paraId="3EAFB834" w14:textId="77777777" w:rsidR="00E511C7" w:rsidRPr="007F068D" w:rsidRDefault="00747ADB" w:rsidP="00747ADB">
            <w:pPr>
              <w:pBdr>
                <w:top w:val="nil"/>
                <w:left w:val="nil"/>
                <w:bottom w:val="nil"/>
                <w:right w:val="nil"/>
                <w:between w:val="nil"/>
              </w:pBdr>
              <w:tabs>
                <w:tab w:val="left" w:pos="990"/>
              </w:tabs>
              <w:spacing w:after="120" w:line="360" w:lineRule="auto"/>
              <w:rPr>
                <w:rFonts w:ascii="Arial" w:eastAsia="Arial" w:hAnsi="Arial" w:cs="Arial"/>
                <w:color w:val="010000"/>
                <w:sz w:val="20"/>
                <w:szCs w:val="20"/>
              </w:rPr>
            </w:pPr>
            <w:r w:rsidRPr="007F068D">
              <w:rPr>
                <w:rFonts w:ascii="Arial" w:hAnsi="Arial" w:cs="Arial"/>
                <w:color w:val="010000"/>
                <w:sz w:val="20"/>
              </w:rPr>
              <w:t>Profit after tax</w:t>
            </w:r>
          </w:p>
        </w:tc>
        <w:tc>
          <w:tcPr>
            <w:tcW w:w="1423" w:type="pct"/>
            <w:shd w:val="clear" w:color="auto" w:fill="auto"/>
            <w:tcMar>
              <w:top w:w="0" w:type="dxa"/>
              <w:bottom w:w="0" w:type="dxa"/>
            </w:tcMar>
            <w:vAlign w:val="center"/>
          </w:tcPr>
          <w:p w14:paraId="763A8378" w14:textId="77777777" w:rsidR="00E511C7" w:rsidRPr="007F068D" w:rsidRDefault="00747ADB" w:rsidP="00747ADB">
            <w:pPr>
              <w:pBdr>
                <w:top w:val="nil"/>
                <w:left w:val="nil"/>
                <w:bottom w:val="nil"/>
                <w:right w:val="nil"/>
                <w:between w:val="nil"/>
              </w:pBdr>
              <w:tabs>
                <w:tab w:val="left" w:pos="990"/>
              </w:tabs>
              <w:spacing w:after="120" w:line="360" w:lineRule="auto"/>
              <w:jc w:val="right"/>
              <w:rPr>
                <w:rFonts w:ascii="Arial" w:eastAsia="Arial" w:hAnsi="Arial" w:cs="Arial"/>
                <w:color w:val="010000"/>
                <w:sz w:val="20"/>
                <w:szCs w:val="20"/>
              </w:rPr>
            </w:pPr>
            <w:r w:rsidRPr="007F068D">
              <w:rPr>
                <w:rFonts w:ascii="Arial" w:hAnsi="Arial" w:cs="Arial"/>
                <w:color w:val="010000"/>
                <w:sz w:val="20"/>
              </w:rPr>
              <w:t>2,000</w:t>
            </w:r>
          </w:p>
        </w:tc>
      </w:tr>
      <w:tr w:rsidR="00E511C7" w:rsidRPr="007F068D" w14:paraId="7FAF1792" w14:textId="77777777" w:rsidTr="00747ADB">
        <w:tc>
          <w:tcPr>
            <w:tcW w:w="3577" w:type="pct"/>
            <w:shd w:val="clear" w:color="auto" w:fill="auto"/>
            <w:tcMar>
              <w:top w:w="0" w:type="dxa"/>
              <w:bottom w:w="0" w:type="dxa"/>
            </w:tcMar>
            <w:vAlign w:val="center"/>
          </w:tcPr>
          <w:p w14:paraId="531CC4DB" w14:textId="77777777" w:rsidR="00E511C7" w:rsidRPr="007F068D" w:rsidRDefault="00747ADB" w:rsidP="00747ADB">
            <w:pPr>
              <w:pBdr>
                <w:top w:val="nil"/>
                <w:left w:val="nil"/>
                <w:bottom w:val="nil"/>
                <w:right w:val="nil"/>
                <w:between w:val="nil"/>
              </w:pBdr>
              <w:tabs>
                <w:tab w:val="left" w:pos="990"/>
              </w:tabs>
              <w:spacing w:after="120" w:line="360" w:lineRule="auto"/>
              <w:rPr>
                <w:rFonts w:ascii="Arial" w:eastAsia="Arial" w:hAnsi="Arial" w:cs="Arial"/>
                <w:color w:val="010000"/>
                <w:sz w:val="20"/>
                <w:szCs w:val="20"/>
              </w:rPr>
            </w:pPr>
            <w:r w:rsidRPr="007F068D">
              <w:rPr>
                <w:rFonts w:ascii="Arial" w:hAnsi="Arial" w:cs="Arial"/>
                <w:color w:val="010000"/>
                <w:sz w:val="20"/>
              </w:rPr>
              <w:t>Expected dividends (%)</w:t>
            </w:r>
          </w:p>
        </w:tc>
        <w:tc>
          <w:tcPr>
            <w:tcW w:w="1423" w:type="pct"/>
            <w:shd w:val="clear" w:color="auto" w:fill="auto"/>
            <w:tcMar>
              <w:top w:w="0" w:type="dxa"/>
              <w:bottom w:w="0" w:type="dxa"/>
            </w:tcMar>
            <w:vAlign w:val="center"/>
          </w:tcPr>
          <w:p w14:paraId="11B8F581" w14:textId="77777777" w:rsidR="00E511C7" w:rsidRPr="007F068D" w:rsidRDefault="00747ADB" w:rsidP="00747ADB">
            <w:pPr>
              <w:pBdr>
                <w:top w:val="nil"/>
                <w:left w:val="nil"/>
                <w:bottom w:val="nil"/>
                <w:right w:val="nil"/>
                <w:between w:val="nil"/>
              </w:pBdr>
              <w:tabs>
                <w:tab w:val="left" w:pos="990"/>
              </w:tabs>
              <w:spacing w:after="120" w:line="360" w:lineRule="auto"/>
              <w:jc w:val="right"/>
              <w:rPr>
                <w:rFonts w:ascii="Arial" w:eastAsia="Arial" w:hAnsi="Arial" w:cs="Arial"/>
                <w:color w:val="010000"/>
                <w:sz w:val="20"/>
                <w:szCs w:val="20"/>
              </w:rPr>
            </w:pPr>
            <w:r w:rsidRPr="007F068D">
              <w:rPr>
                <w:rFonts w:ascii="Arial" w:hAnsi="Arial" w:cs="Arial"/>
                <w:color w:val="010000"/>
                <w:sz w:val="20"/>
              </w:rPr>
              <w:t>0</w:t>
            </w:r>
          </w:p>
        </w:tc>
      </w:tr>
    </w:tbl>
    <w:p w14:paraId="7B2847B4" w14:textId="77777777" w:rsidR="00E511C7" w:rsidRPr="007F068D" w:rsidRDefault="00747ADB" w:rsidP="006C5D09">
      <w:pPr>
        <w:pBdr>
          <w:top w:val="nil"/>
          <w:left w:val="nil"/>
          <w:bottom w:val="nil"/>
          <w:right w:val="nil"/>
          <w:between w:val="nil"/>
        </w:pBdr>
        <w:tabs>
          <w:tab w:val="left" w:pos="990"/>
        </w:tabs>
        <w:spacing w:after="120" w:line="360" w:lineRule="auto"/>
        <w:jc w:val="both"/>
        <w:rPr>
          <w:rFonts w:ascii="Arial" w:eastAsia="Arial" w:hAnsi="Arial" w:cs="Arial"/>
          <w:color w:val="010000"/>
          <w:sz w:val="20"/>
          <w:szCs w:val="20"/>
        </w:rPr>
      </w:pPr>
      <w:r w:rsidRPr="007F068D">
        <w:rPr>
          <w:rFonts w:ascii="Arial" w:hAnsi="Arial" w:cs="Arial"/>
          <w:color w:val="010000"/>
          <w:sz w:val="20"/>
        </w:rPr>
        <w:t>‎‎Article 2. The Board of Directors approves the date, venue, and documents of the Annual General Meeting of Shareholders 2024, with the following specific details:</w:t>
      </w:r>
    </w:p>
    <w:p w14:paraId="5353B468" w14:textId="4A9A75B1" w:rsidR="00E511C7" w:rsidRPr="007F068D" w:rsidRDefault="00747ADB" w:rsidP="006C5D09">
      <w:pPr>
        <w:numPr>
          <w:ilvl w:val="0"/>
          <w:numId w:val="2"/>
        </w:numPr>
        <w:pBdr>
          <w:top w:val="nil"/>
          <w:left w:val="nil"/>
          <w:bottom w:val="nil"/>
          <w:right w:val="nil"/>
          <w:between w:val="nil"/>
        </w:pBdr>
        <w:tabs>
          <w:tab w:val="left" w:pos="990"/>
          <w:tab w:val="left" w:pos="2075"/>
        </w:tabs>
        <w:spacing w:after="120" w:line="360" w:lineRule="auto"/>
        <w:jc w:val="both"/>
        <w:rPr>
          <w:rFonts w:ascii="Arial" w:hAnsi="Arial" w:cs="Arial"/>
          <w:color w:val="010000"/>
          <w:sz w:val="20"/>
          <w:szCs w:val="20"/>
        </w:rPr>
      </w:pPr>
      <w:r w:rsidRPr="007F068D">
        <w:rPr>
          <w:rFonts w:ascii="Arial" w:hAnsi="Arial" w:cs="Arial"/>
          <w:color w:val="010000"/>
          <w:sz w:val="20"/>
        </w:rPr>
        <w:t>Meeting date: 02.00 p</w:t>
      </w:r>
      <w:r w:rsidR="007F068D" w:rsidRPr="007F068D">
        <w:rPr>
          <w:rFonts w:ascii="Arial" w:hAnsi="Arial" w:cs="Arial"/>
          <w:color w:val="010000"/>
          <w:sz w:val="20"/>
        </w:rPr>
        <w:t>.</w:t>
      </w:r>
      <w:r w:rsidRPr="007F068D">
        <w:rPr>
          <w:rFonts w:ascii="Arial" w:hAnsi="Arial" w:cs="Arial"/>
          <w:color w:val="010000"/>
          <w:sz w:val="20"/>
        </w:rPr>
        <w:t>m</w:t>
      </w:r>
      <w:r w:rsidR="007F068D" w:rsidRPr="007F068D">
        <w:rPr>
          <w:rFonts w:ascii="Arial" w:hAnsi="Arial" w:cs="Arial"/>
          <w:color w:val="010000"/>
          <w:sz w:val="20"/>
        </w:rPr>
        <w:t>.</w:t>
      </w:r>
      <w:r w:rsidRPr="007F068D">
        <w:rPr>
          <w:rFonts w:ascii="Arial" w:hAnsi="Arial" w:cs="Arial"/>
          <w:color w:val="010000"/>
          <w:sz w:val="20"/>
        </w:rPr>
        <w:t>, Wednesday, April 17, 2024</w:t>
      </w:r>
    </w:p>
    <w:p w14:paraId="4D3CE8E6" w14:textId="77777777" w:rsidR="00E511C7" w:rsidRPr="007F068D" w:rsidRDefault="00747ADB" w:rsidP="006C5D09">
      <w:pPr>
        <w:numPr>
          <w:ilvl w:val="0"/>
          <w:numId w:val="2"/>
        </w:numPr>
        <w:pBdr>
          <w:top w:val="nil"/>
          <w:left w:val="nil"/>
          <w:bottom w:val="nil"/>
          <w:right w:val="nil"/>
          <w:between w:val="nil"/>
        </w:pBdr>
        <w:tabs>
          <w:tab w:val="left" w:pos="990"/>
          <w:tab w:val="left" w:pos="2091"/>
        </w:tabs>
        <w:spacing w:after="120" w:line="360" w:lineRule="auto"/>
        <w:jc w:val="both"/>
        <w:rPr>
          <w:rFonts w:ascii="Arial" w:hAnsi="Arial" w:cs="Arial"/>
          <w:color w:val="010000"/>
          <w:sz w:val="20"/>
          <w:szCs w:val="20"/>
        </w:rPr>
      </w:pPr>
      <w:r w:rsidRPr="007F068D">
        <w:rPr>
          <w:rFonts w:ascii="Arial" w:hAnsi="Arial" w:cs="Arial"/>
          <w:color w:val="010000"/>
          <w:sz w:val="20"/>
        </w:rPr>
        <w:t xml:space="preserve">Venue: 7th Floor Hall, 11 Pham Hung, My </w:t>
      </w:r>
      <w:proofErr w:type="spellStart"/>
      <w:r w:rsidRPr="007F068D">
        <w:rPr>
          <w:rFonts w:ascii="Arial" w:hAnsi="Arial" w:cs="Arial"/>
          <w:color w:val="010000"/>
          <w:sz w:val="20"/>
        </w:rPr>
        <w:t>Dinh</w:t>
      </w:r>
      <w:proofErr w:type="spellEnd"/>
      <w:r w:rsidRPr="007F068D">
        <w:rPr>
          <w:rFonts w:ascii="Arial" w:hAnsi="Arial" w:cs="Arial"/>
          <w:color w:val="010000"/>
          <w:sz w:val="20"/>
        </w:rPr>
        <w:t xml:space="preserve"> 2, Nam </w:t>
      </w:r>
      <w:proofErr w:type="spellStart"/>
      <w:r w:rsidRPr="007F068D">
        <w:rPr>
          <w:rFonts w:ascii="Arial" w:hAnsi="Arial" w:cs="Arial"/>
          <w:color w:val="010000"/>
          <w:sz w:val="20"/>
        </w:rPr>
        <w:t>Tu</w:t>
      </w:r>
      <w:proofErr w:type="spellEnd"/>
      <w:r w:rsidRPr="007F068D">
        <w:rPr>
          <w:rFonts w:ascii="Arial" w:hAnsi="Arial" w:cs="Arial"/>
          <w:color w:val="010000"/>
          <w:sz w:val="20"/>
        </w:rPr>
        <w:t xml:space="preserve"> </w:t>
      </w:r>
      <w:proofErr w:type="spellStart"/>
      <w:r w:rsidRPr="007F068D">
        <w:rPr>
          <w:rFonts w:ascii="Arial" w:hAnsi="Arial" w:cs="Arial"/>
          <w:color w:val="010000"/>
          <w:sz w:val="20"/>
        </w:rPr>
        <w:t>Liem</w:t>
      </w:r>
      <w:proofErr w:type="spellEnd"/>
      <w:r w:rsidRPr="007F068D">
        <w:rPr>
          <w:rFonts w:ascii="Arial" w:hAnsi="Arial" w:cs="Arial"/>
          <w:color w:val="010000"/>
          <w:sz w:val="20"/>
        </w:rPr>
        <w:t>, Hanoi</w:t>
      </w:r>
    </w:p>
    <w:p w14:paraId="34BFA7B5" w14:textId="77777777" w:rsidR="00E511C7" w:rsidRPr="007F068D" w:rsidRDefault="00747ADB" w:rsidP="006C5D09">
      <w:pPr>
        <w:numPr>
          <w:ilvl w:val="0"/>
          <w:numId w:val="2"/>
        </w:numPr>
        <w:pBdr>
          <w:top w:val="nil"/>
          <w:left w:val="nil"/>
          <w:bottom w:val="nil"/>
          <w:right w:val="nil"/>
          <w:between w:val="nil"/>
        </w:pBdr>
        <w:tabs>
          <w:tab w:val="left" w:pos="990"/>
          <w:tab w:val="left" w:pos="2088"/>
        </w:tabs>
        <w:spacing w:after="120" w:line="360" w:lineRule="auto"/>
        <w:jc w:val="both"/>
        <w:rPr>
          <w:rFonts w:ascii="Arial" w:hAnsi="Arial" w:cs="Arial"/>
          <w:color w:val="010000"/>
          <w:sz w:val="20"/>
          <w:szCs w:val="20"/>
        </w:rPr>
      </w:pPr>
      <w:r w:rsidRPr="007F068D">
        <w:rPr>
          <w:rFonts w:ascii="Arial" w:hAnsi="Arial" w:cs="Arial"/>
          <w:color w:val="010000"/>
          <w:sz w:val="20"/>
        </w:rPr>
        <w:t>The documents for the General Meeting include:</w:t>
      </w:r>
    </w:p>
    <w:p w14:paraId="379190AA" w14:textId="77777777" w:rsidR="00E511C7" w:rsidRPr="007F068D" w:rsidRDefault="00747ADB" w:rsidP="006C5D09">
      <w:pPr>
        <w:numPr>
          <w:ilvl w:val="0"/>
          <w:numId w:val="1"/>
        </w:numPr>
        <w:pBdr>
          <w:top w:val="nil"/>
          <w:left w:val="nil"/>
          <w:bottom w:val="nil"/>
          <w:right w:val="nil"/>
          <w:between w:val="nil"/>
        </w:pBdr>
        <w:tabs>
          <w:tab w:val="left" w:pos="990"/>
          <w:tab w:val="left" w:pos="2401"/>
        </w:tabs>
        <w:spacing w:after="120" w:line="360" w:lineRule="auto"/>
        <w:jc w:val="both"/>
        <w:rPr>
          <w:rFonts w:ascii="Arial" w:hAnsi="Arial" w:cs="Arial"/>
          <w:color w:val="010000"/>
          <w:sz w:val="20"/>
          <w:szCs w:val="20"/>
        </w:rPr>
      </w:pPr>
      <w:r w:rsidRPr="007F068D">
        <w:rPr>
          <w:rFonts w:ascii="Arial" w:hAnsi="Arial" w:cs="Arial"/>
          <w:color w:val="010000"/>
          <w:sz w:val="20"/>
        </w:rPr>
        <w:t>Report on activities 2023 and operational plan 2024 of the Board of Directors. Report on evaluation of independent members of the Board of Directors on the activities of the Board of Directors in 2023.</w:t>
      </w:r>
    </w:p>
    <w:p w14:paraId="66678F4A" w14:textId="77777777" w:rsidR="00E511C7" w:rsidRPr="007F068D" w:rsidRDefault="00747ADB" w:rsidP="006C5D09">
      <w:pPr>
        <w:numPr>
          <w:ilvl w:val="0"/>
          <w:numId w:val="1"/>
        </w:numPr>
        <w:pBdr>
          <w:top w:val="nil"/>
          <w:left w:val="nil"/>
          <w:bottom w:val="nil"/>
          <w:right w:val="nil"/>
          <w:between w:val="nil"/>
        </w:pBdr>
        <w:tabs>
          <w:tab w:val="left" w:pos="990"/>
          <w:tab w:val="left" w:pos="2401"/>
        </w:tabs>
        <w:spacing w:after="120" w:line="360" w:lineRule="auto"/>
        <w:jc w:val="both"/>
        <w:rPr>
          <w:rFonts w:ascii="Arial" w:hAnsi="Arial" w:cs="Arial"/>
          <w:color w:val="010000"/>
          <w:sz w:val="20"/>
          <w:szCs w:val="20"/>
        </w:rPr>
      </w:pPr>
      <w:r w:rsidRPr="007F068D">
        <w:rPr>
          <w:rFonts w:ascii="Arial" w:hAnsi="Arial" w:cs="Arial"/>
          <w:color w:val="010000"/>
          <w:sz w:val="20"/>
        </w:rPr>
        <w:t>Report on evaluation of the Supervisory Board on the supervisory activities in 2023 and the supervisory plan for 2024.</w:t>
      </w:r>
    </w:p>
    <w:p w14:paraId="2DF0F94D" w14:textId="77777777" w:rsidR="00E511C7" w:rsidRPr="007F068D" w:rsidRDefault="00747ADB" w:rsidP="006C5D09">
      <w:pPr>
        <w:numPr>
          <w:ilvl w:val="0"/>
          <w:numId w:val="1"/>
        </w:numPr>
        <w:pBdr>
          <w:top w:val="nil"/>
          <w:left w:val="nil"/>
          <w:bottom w:val="nil"/>
          <w:right w:val="nil"/>
          <w:between w:val="nil"/>
        </w:pBdr>
        <w:tabs>
          <w:tab w:val="left" w:pos="990"/>
          <w:tab w:val="left" w:pos="2401"/>
        </w:tabs>
        <w:spacing w:after="120" w:line="360" w:lineRule="auto"/>
        <w:jc w:val="both"/>
        <w:rPr>
          <w:rFonts w:ascii="Arial" w:hAnsi="Arial" w:cs="Arial"/>
          <w:color w:val="010000"/>
          <w:sz w:val="20"/>
          <w:szCs w:val="20"/>
        </w:rPr>
      </w:pPr>
      <w:r w:rsidRPr="007F068D">
        <w:rPr>
          <w:rFonts w:ascii="Arial" w:hAnsi="Arial" w:cs="Arial"/>
          <w:color w:val="010000"/>
          <w:sz w:val="20"/>
        </w:rPr>
        <w:t>Report of the Board of Management on the results of production and business activities in 2023 and the business plan for 2024.</w:t>
      </w:r>
    </w:p>
    <w:p w14:paraId="1098DCA3" w14:textId="77777777" w:rsidR="00E511C7" w:rsidRPr="007F068D" w:rsidRDefault="00747ADB" w:rsidP="006C5D09">
      <w:pPr>
        <w:numPr>
          <w:ilvl w:val="0"/>
          <w:numId w:val="1"/>
        </w:numPr>
        <w:pBdr>
          <w:top w:val="nil"/>
          <w:left w:val="nil"/>
          <w:bottom w:val="nil"/>
          <w:right w:val="nil"/>
          <w:between w:val="nil"/>
        </w:pBdr>
        <w:tabs>
          <w:tab w:val="left" w:pos="990"/>
          <w:tab w:val="left" w:pos="2401"/>
        </w:tabs>
        <w:spacing w:after="120" w:line="360" w:lineRule="auto"/>
        <w:jc w:val="both"/>
        <w:rPr>
          <w:rFonts w:ascii="Arial" w:hAnsi="Arial" w:cs="Arial"/>
          <w:color w:val="010000"/>
          <w:sz w:val="20"/>
          <w:szCs w:val="20"/>
        </w:rPr>
      </w:pPr>
      <w:r w:rsidRPr="007F068D">
        <w:rPr>
          <w:rFonts w:ascii="Arial" w:hAnsi="Arial" w:cs="Arial"/>
          <w:color w:val="010000"/>
          <w:sz w:val="20"/>
        </w:rPr>
        <w:t xml:space="preserve">Proposal on approving the Audited Financial Statements 2023 (Consolidated and Holding </w:t>
      </w:r>
      <w:proofErr w:type="gramStart"/>
      <w:r w:rsidRPr="007F068D">
        <w:rPr>
          <w:rFonts w:ascii="Arial" w:hAnsi="Arial" w:cs="Arial"/>
          <w:color w:val="010000"/>
          <w:sz w:val="20"/>
        </w:rPr>
        <w:t>companies’</w:t>
      </w:r>
      <w:proofErr w:type="gramEnd"/>
      <w:r w:rsidRPr="007F068D">
        <w:rPr>
          <w:rFonts w:ascii="Arial" w:hAnsi="Arial" w:cs="Arial"/>
          <w:color w:val="010000"/>
          <w:sz w:val="20"/>
        </w:rPr>
        <w:t xml:space="preserve"> Financial Statements).</w:t>
      </w:r>
    </w:p>
    <w:p w14:paraId="53550EA3" w14:textId="77777777" w:rsidR="00E511C7" w:rsidRPr="007F068D" w:rsidRDefault="00747ADB" w:rsidP="006C5D09">
      <w:pPr>
        <w:numPr>
          <w:ilvl w:val="0"/>
          <w:numId w:val="1"/>
        </w:numPr>
        <w:pBdr>
          <w:top w:val="nil"/>
          <w:left w:val="nil"/>
          <w:bottom w:val="nil"/>
          <w:right w:val="nil"/>
          <w:between w:val="nil"/>
        </w:pBdr>
        <w:tabs>
          <w:tab w:val="left" w:pos="990"/>
          <w:tab w:val="left" w:pos="2401"/>
        </w:tabs>
        <w:spacing w:after="120" w:line="360" w:lineRule="auto"/>
        <w:jc w:val="both"/>
        <w:rPr>
          <w:rFonts w:ascii="Arial" w:hAnsi="Arial" w:cs="Arial"/>
          <w:color w:val="010000"/>
          <w:sz w:val="20"/>
          <w:szCs w:val="20"/>
        </w:rPr>
      </w:pPr>
      <w:r w:rsidRPr="007F068D">
        <w:rPr>
          <w:rFonts w:ascii="Arial" w:hAnsi="Arial" w:cs="Arial"/>
          <w:color w:val="010000"/>
          <w:sz w:val="20"/>
        </w:rPr>
        <w:t xml:space="preserve">Proposal on the selection of an audit company to review the Semi-Annual Financial Statements and to audit the Financial Statements 2024 (Consolidated and Holding </w:t>
      </w:r>
      <w:proofErr w:type="gramStart"/>
      <w:r w:rsidRPr="007F068D">
        <w:rPr>
          <w:rFonts w:ascii="Arial" w:hAnsi="Arial" w:cs="Arial"/>
          <w:color w:val="010000"/>
          <w:sz w:val="20"/>
        </w:rPr>
        <w:t>companies’</w:t>
      </w:r>
      <w:proofErr w:type="gramEnd"/>
      <w:r w:rsidRPr="007F068D">
        <w:rPr>
          <w:rFonts w:ascii="Arial" w:hAnsi="Arial" w:cs="Arial"/>
          <w:color w:val="010000"/>
          <w:sz w:val="20"/>
        </w:rPr>
        <w:t xml:space="preserve"> Financial Statements).</w:t>
      </w:r>
    </w:p>
    <w:p w14:paraId="011F709D" w14:textId="77777777" w:rsidR="00E511C7" w:rsidRPr="007F068D" w:rsidRDefault="00747ADB" w:rsidP="006C5D09">
      <w:pPr>
        <w:numPr>
          <w:ilvl w:val="0"/>
          <w:numId w:val="1"/>
        </w:numPr>
        <w:pBdr>
          <w:top w:val="nil"/>
          <w:left w:val="nil"/>
          <w:bottom w:val="nil"/>
          <w:right w:val="nil"/>
          <w:between w:val="nil"/>
        </w:pBdr>
        <w:tabs>
          <w:tab w:val="left" w:pos="990"/>
          <w:tab w:val="left" w:pos="2401"/>
        </w:tabs>
        <w:spacing w:after="120" w:line="360" w:lineRule="auto"/>
        <w:jc w:val="both"/>
        <w:rPr>
          <w:rFonts w:ascii="Arial" w:hAnsi="Arial" w:cs="Arial"/>
          <w:color w:val="010000"/>
          <w:sz w:val="20"/>
          <w:szCs w:val="20"/>
        </w:rPr>
      </w:pPr>
      <w:r w:rsidRPr="007F068D">
        <w:rPr>
          <w:rFonts w:ascii="Arial" w:hAnsi="Arial" w:cs="Arial"/>
          <w:color w:val="010000"/>
          <w:sz w:val="20"/>
        </w:rPr>
        <w:t>Proposal on approving the business results for 2023, profit distribution for 2023, and the business plan for 2024, as well as the profit distribution plan for 2024.</w:t>
      </w:r>
    </w:p>
    <w:p w14:paraId="2E2FF201" w14:textId="77777777" w:rsidR="00E511C7" w:rsidRPr="007F068D" w:rsidRDefault="00747ADB" w:rsidP="006C5D09">
      <w:pPr>
        <w:numPr>
          <w:ilvl w:val="0"/>
          <w:numId w:val="1"/>
        </w:numPr>
        <w:pBdr>
          <w:top w:val="nil"/>
          <w:left w:val="nil"/>
          <w:bottom w:val="nil"/>
          <w:right w:val="nil"/>
          <w:between w:val="nil"/>
        </w:pBdr>
        <w:tabs>
          <w:tab w:val="left" w:pos="990"/>
          <w:tab w:val="left" w:pos="2621"/>
        </w:tabs>
        <w:spacing w:after="120" w:line="360" w:lineRule="auto"/>
        <w:jc w:val="both"/>
        <w:rPr>
          <w:rFonts w:ascii="Arial" w:hAnsi="Arial" w:cs="Arial"/>
          <w:color w:val="010000"/>
          <w:sz w:val="20"/>
          <w:szCs w:val="20"/>
        </w:rPr>
      </w:pPr>
      <w:r w:rsidRPr="007F068D">
        <w:rPr>
          <w:rFonts w:ascii="Arial" w:hAnsi="Arial" w:cs="Arial"/>
          <w:color w:val="010000"/>
          <w:sz w:val="20"/>
        </w:rPr>
        <w:t>Proposal on settling salary, remuneration and bonuses of the Board of Directors, the Supervisory Board for 2023 and the salary, remuneration, and bonus plan for the Board of Directors and the Supervisory Board in 2024.</w:t>
      </w:r>
    </w:p>
    <w:p w14:paraId="0063E856" w14:textId="77777777" w:rsidR="00E511C7" w:rsidRPr="007F068D" w:rsidRDefault="00747ADB" w:rsidP="006C5D09">
      <w:pPr>
        <w:numPr>
          <w:ilvl w:val="0"/>
          <w:numId w:val="1"/>
        </w:numPr>
        <w:pBdr>
          <w:top w:val="nil"/>
          <w:left w:val="nil"/>
          <w:bottom w:val="nil"/>
          <w:right w:val="nil"/>
          <w:between w:val="nil"/>
        </w:pBdr>
        <w:tabs>
          <w:tab w:val="left" w:pos="990"/>
          <w:tab w:val="left" w:pos="2621"/>
        </w:tabs>
        <w:spacing w:after="120" w:line="360" w:lineRule="auto"/>
        <w:jc w:val="both"/>
        <w:rPr>
          <w:rFonts w:ascii="Arial" w:hAnsi="Arial" w:cs="Arial"/>
          <w:color w:val="010000"/>
          <w:sz w:val="20"/>
          <w:szCs w:val="20"/>
        </w:rPr>
      </w:pPr>
      <w:r w:rsidRPr="007F068D">
        <w:rPr>
          <w:rFonts w:ascii="Arial" w:hAnsi="Arial" w:cs="Arial"/>
          <w:color w:val="010000"/>
          <w:sz w:val="20"/>
        </w:rPr>
        <w:lastRenderedPageBreak/>
        <w:t>Proposal on the dismissal and election of additional members of the Supervisory Board for the 2022-2027 term.</w:t>
      </w:r>
    </w:p>
    <w:p w14:paraId="13D4CD4D" w14:textId="77777777" w:rsidR="00E511C7" w:rsidRPr="007F068D" w:rsidRDefault="00747ADB" w:rsidP="006C5D09">
      <w:pPr>
        <w:numPr>
          <w:ilvl w:val="0"/>
          <w:numId w:val="1"/>
        </w:numPr>
        <w:pBdr>
          <w:top w:val="nil"/>
          <w:left w:val="nil"/>
          <w:bottom w:val="nil"/>
          <w:right w:val="nil"/>
          <w:between w:val="nil"/>
        </w:pBdr>
        <w:tabs>
          <w:tab w:val="left" w:pos="990"/>
          <w:tab w:val="left" w:pos="2621"/>
        </w:tabs>
        <w:spacing w:after="120" w:line="360" w:lineRule="auto"/>
        <w:jc w:val="both"/>
        <w:rPr>
          <w:rFonts w:ascii="Arial" w:hAnsi="Arial" w:cs="Arial"/>
          <w:color w:val="010000"/>
          <w:sz w:val="20"/>
          <w:szCs w:val="20"/>
        </w:rPr>
      </w:pPr>
      <w:r w:rsidRPr="007F068D">
        <w:rPr>
          <w:rFonts w:ascii="Arial" w:hAnsi="Arial" w:cs="Arial"/>
          <w:color w:val="010000"/>
          <w:sz w:val="20"/>
        </w:rPr>
        <w:t>Draft of operational regulation, voting and election of the Annual General Meeting of Shareholders 2024.</w:t>
      </w:r>
    </w:p>
    <w:p w14:paraId="65D4B895" w14:textId="77777777" w:rsidR="00E511C7" w:rsidRPr="007F068D" w:rsidRDefault="00747ADB" w:rsidP="006C5D09">
      <w:pPr>
        <w:numPr>
          <w:ilvl w:val="0"/>
          <w:numId w:val="1"/>
        </w:numPr>
        <w:pBdr>
          <w:top w:val="nil"/>
          <w:left w:val="nil"/>
          <w:bottom w:val="nil"/>
          <w:right w:val="nil"/>
          <w:between w:val="nil"/>
        </w:pBdr>
        <w:tabs>
          <w:tab w:val="left" w:pos="990"/>
          <w:tab w:val="left" w:pos="2621"/>
        </w:tabs>
        <w:spacing w:after="120" w:line="360" w:lineRule="auto"/>
        <w:jc w:val="both"/>
        <w:rPr>
          <w:rFonts w:ascii="Arial" w:hAnsi="Arial" w:cs="Arial"/>
          <w:color w:val="010000"/>
          <w:sz w:val="20"/>
          <w:szCs w:val="20"/>
        </w:rPr>
      </w:pPr>
      <w:r w:rsidRPr="007F068D">
        <w:rPr>
          <w:rFonts w:ascii="Arial" w:hAnsi="Arial" w:cs="Arial"/>
          <w:color w:val="010000"/>
          <w:sz w:val="20"/>
        </w:rPr>
        <w:t>Notice on nomination, self-nomination and additional election of members of the Supervisory Board for the term of 2022-2027.</w:t>
      </w:r>
    </w:p>
    <w:p w14:paraId="2CBA2622" w14:textId="77777777" w:rsidR="00E511C7" w:rsidRPr="007F068D" w:rsidRDefault="00747ADB" w:rsidP="006C5D09">
      <w:pPr>
        <w:numPr>
          <w:ilvl w:val="0"/>
          <w:numId w:val="1"/>
        </w:numPr>
        <w:pBdr>
          <w:top w:val="nil"/>
          <w:left w:val="nil"/>
          <w:bottom w:val="nil"/>
          <w:right w:val="nil"/>
          <w:between w:val="nil"/>
        </w:pBdr>
        <w:tabs>
          <w:tab w:val="left" w:pos="990"/>
          <w:tab w:val="left" w:pos="2621"/>
        </w:tabs>
        <w:spacing w:after="120" w:line="360" w:lineRule="auto"/>
        <w:jc w:val="both"/>
        <w:rPr>
          <w:rFonts w:ascii="Arial" w:hAnsi="Arial" w:cs="Arial"/>
          <w:color w:val="010000"/>
          <w:sz w:val="20"/>
          <w:szCs w:val="20"/>
        </w:rPr>
      </w:pPr>
      <w:r w:rsidRPr="007F068D">
        <w:rPr>
          <w:rFonts w:ascii="Arial" w:hAnsi="Arial" w:cs="Arial"/>
          <w:color w:val="010000"/>
          <w:sz w:val="20"/>
        </w:rPr>
        <w:t>Application dossiers for the nomination and self-nomination of members to the Supervisory Board for the term 2022-2027.</w:t>
      </w:r>
    </w:p>
    <w:p w14:paraId="7C55AD3B" w14:textId="77777777" w:rsidR="00E511C7" w:rsidRPr="007F068D" w:rsidRDefault="00747ADB" w:rsidP="006C5D09">
      <w:pPr>
        <w:numPr>
          <w:ilvl w:val="0"/>
          <w:numId w:val="1"/>
        </w:numPr>
        <w:pBdr>
          <w:top w:val="nil"/>
          <w:left w:val="nil"/>
          <w:bottom w:val="nil"/>
          <w:right w:val="nil"/>
          <w:between w:val="nil"/>
        </w:pBdr>
        <w:tabs>
          <w:tab w:val="left" w:pos="990"/>
          <w:tab w:val="left" w:pos="2621"/>
        </w:tabs>
        <w:spacing w:after="120" w:line="360" w:lineRule="auto"/>
        <w:jc w:val="both"/>
        <w:rPr>
          <w:rFonts w:ascii="Arial" w:hAnsi="Arial" w:cs="Arial"/>
          <w:color w:val="010000"/>
          <w:sz w:val="20"/>
          <w:szCs w:val="20"/>
        </w:rPr>
      </w:pPr>
      <w:r w:rsidRPr="007F068D">
        <w:rPr>
          <w:rFonts w:ascii="Arial" w:hAnsi="Arial" w:cs="Arial"/>
          <w:color w:val="010000"/>
          <w:sz w:val="20"/>
        </w:rPr>
        <w:t>The agenda of the Annual General Meeting of Shareholders 2024.</w:t>
      </w:r>
    </w:p>
    <w:p w14:paraId="7DE3AA30" w14:textId="77777777" w:rsidR="00E511C7" w:rsidRPr="007F068D" w:rsidRDefault="00747ADB" w:rsidP="006C5D09">
      <w:pPr>
        <w:numPr>
          <w:ilvl w:val="0"/>
          <w:numId w:val="1"/>
        </w:numPr>
        <w:pBdr>
          <w:top w:val="nil"/>
          <w:left w:val="nil"/>
          <w:bottom w:val="nil"/>
          <w:right w:val="nil"/>
          <w:between w:val="nil"/>
        </w:pBdr>
        <w:tabs>
          <w:tab w:val="left" w:pos="990"/>
          <w:tab w:val="left" w:pos="2621"/>
        </w:tabs>
        <w:spacing w:after="120" w:line="360" w:lineRule="auto"/>
        <w:jc w:val="both"/>
        <w:rPr>
          <w:rFonts w:ascii="Arial" w:hAnsi="Arial" w:cs="Arial"/>
          <w:color w:val="010000"/>
          <w:sz w:val="20"/>
          <w:szCs w:val="20"/>
        </w:rPr>
      </w:pPr>
      <w:r w:rsidRPr="007F068D">
        <w:rPr>
          <w:rFonts w:ascii="Arial" w:hAnsi="Arial" w:cs="Arial"/>
          <w:color w:val="010000"/>
          <w:sz w:val="20"/>
        </w:rPr>
        <w:t>Other contents under the authority of t</w:t>
      </w:r>
      <w:bookmarkStart w:id="0" w:name="_GoBack"/>
      <w:bookmarkEnd w:id="0"/>
      <w:r w:rsidRPr="007F068D">
        <w:rPr>
          <w:rFonts w:ascii="Arial" w:hAnsi="Arial" w:cs="Arial"/>
          <w:color w:val="010000"/>
          <w:sz w:val="20"/>
        </w:rPr>
        <w:t>he General Meeting of Shareholders (if any).</w:t>
      </w:r>
    </w:p>
    <w:p w14:paraId="2204FA16" w14:textId="36C2B9B3" w:rsidR="00E511C7" w:rsidRPr="007F068D" w:rsidRDefault="00747ADB" w:rsidP="006C5D09">
      <w:pPr>
        <w:pBdr>
          <w:top w:val="nil"/>
          <w:left w:val="nil"/>
          <w:bottom w:val="nil"/>
          <w:right w:val="nil"/>
          <w:between w:val="nil"/>
        </w:pBdr>
        <w:tabs>
          <w:tab w:val="left" w:pos="990"/>
        </w:tabs>
        <w:spacing w:after="120" w:line="360" w:lineRule="auto"/>
        <w:jc w:val="both"/>
        <w:rPr>
          <w:rFonts w:ascii="Arial" w:eastAsia="Arial" w:hAnsi="Arial" w:cs="Arial"/>
          <w:color w:val="010000"/>
          <w:sz w:val="20"/>
          <w:szCs w:val="20"/>
        </w:rPr>
      </w:pPr>
      <w:r w:rsidRPr="007F068D">
        <w:rPr>
          <w:rFonts w:ascii="Arial" w:hAnsi="Arial" w:cs="Arial"/>
          <w:color w:val="010000"/>
          <w:sz w:val="20"/>
        </w:rPr>
        <w:t xml:space="preserve">‎‎Article 3. The Board of Directors </w:t>
      </w:r>
      <w:r w:rsidR="007F068D" w:rsidRPr="007F068D">
        <w:rPr>
          <w:rFonts w:ascii="Arial" w:hAnsi="Arial" w:cs="Arial"/>
          <w:color w:val="010000"/>
          <w:sz w:val="20"/>
        </w:rPr>
        <w:t>agrees</w:t>
      </w:r>
      <w:r w:rsidRPr="007F068D">
        <w:rPr>
          <w:rFonts w:ascii="Arial" w:hAnsi="Arial" w:cs="Arial"/>
          <w:color w:val="010000"/>
          <w:sz w:val="20"/>
        </w:rPr>
        <w:t xml:space="preserve"> on assigning Ms. Nguyen Thi Thanh Thuy, the General Manager, as the legal representative of the Company to direct the departments and individuals of the Company in disclosing information to shareholders and relevant authorities in accordance with the Company's Charter and the law.</w:t>
      </w:r>
    </w:p>
    <w:p w14:paraId="33FAE134" w14:textId="77777777" w:rsidR="00E511C7" w:rsidRPr="007F068D" w:rsidRDefault="00747ADB" w:rsidP="006C5D09">
      <w:pPr>
        <w:pBdr>
          <w:top w:val="nil"/>
          <w:left w:val="nil"/>
          <w:bottom w:val="nil"/>
          <w:right w:val="nil"/>
          <w:between w:val="nil"/>
        </w:pBdr>
        <w:tabs>
          <w:tab w:val="left" w:pos="990"/>
        </w:tabs>
        <w:spacing w:after="120" w:line="360" w:lineRule="auto"/>
        <w:jc w:val="both"/>
        <w:rPr>
          <w:rFonts w:ascii="Arial" w:eastAsia="Arial" w:hAnsi="Arial" w:cs="Arial"/>
          <w:color w:val="010000"/>
          <w:sz w:val="20"/>
          <w:szCs w:val="20"/>
        </w:rPr>
      </w:pPr>
      <w:r w:rsidRPr="007F068D">
        <w:rPr>
          <w:rFonts w:ascii="Arial" w:hAnsi="Arial" w:cs="Arial"/>
          <w:color w:val="010000"/>
          <w:sz w:val="20"/>
        </w:rPr>
        <w:t>‎‎Article 4. This Resolution takes effect from the date of its signing.</w:t>
      </w:r>
    </w:p>
    <w:p w14:paraId="3A9E5F1C" w14:textId="77777777" w:rsidR="00E511C7" w:rsidRPr="007F068D" w:rsidRDefault="00747ADB" w:rsidP="006C5D09">
      <w:pPr>
        <w:pBdr>
          <w:top w:val="nil"/>
          <w:left w:val="nil"/>
          <w:bottom w:val="nil"/>
          <w:right w:val="nil"/>
          <w:between w:val="nil"/>
        </w:pBdr>
        <w:tabs>
          <w:tab w:val="left" w:pos="990"/>
        </w:tabs>
        <w:spacing w:after="120" w:line="360" w:lineRule="auto"/>
        <w:jc w:val="both"/>
        <w:rPr>
          <w:rFonts w:ascii="Arial" w:eastAsia="Arial" w:hAnsi="Arial" w:cs="Arial"/>
          <w:color w:val="010000"/>
          <w:sz w:val="20"/>
          <w:szCs w:val="20"/>
        </w:rPr>
      </w:pPr>
      <w:r w:rsidRPr="007F068D">
        <w:rPr>
          <w:rFonts w:ascii="Arial" w:hAnsi="Arial" w:cs="Arial"/>
          <w:color w:val="010000"/>
          <w:sz w:val="20"/>
        </w:rPr>
        <w:t>Members of the Board of Directors, Ms. Nguyen Thi Thanh Thuy, and relevant departments, individuals are responsible for implementing this Resolution./.</w:t>
      </w:r>
    </w:p>
    <w:sectPr w:rsidR="00E511C7" w:rsidRPr="007F068D" w:rsidSect="00747AD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D59FE"/>
    <w:multiLevelType w:val="multilevel"/>
    <w:tmpl w:val="59929D4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7197A2A"/>
    <w:multiLevelType w:val="multilevel"/>
    <w:tmpl w:val="BD7606B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7"/>
    <w:rsid w:val="006C5D09"/>
    <w:rsid w:val="00747ADB"/>
    <w:rsid w:val="007F068D"/>
    <w:rsid w:val="00E511C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14529"/>
  <w15:docId w15:val="{2677B8EC-A4C1-4F5D-A6AC-D932F463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1923"/>
      <w:sz w:val="13"/>
      <w:szCs w:val="13"/>
      <w:u w:val="none"/>
    </w:rPr>
  </w:style>
  <w:style w:type="paragraph" w:customStyle="1" w:styleId="Heading21">
    <w:name w:val="Heading #2"/>
    <w:basedOn w:val="Normal"/>
    <w:link w:val="Heading20"/>
    <w:pPr>
      <w:spacing w:line="264" w:lineRule="auto"/>
      <w:ind w:left="440"/>
      <w:outlineLvl w:val="1"/>
    </w:pPr>
    <w:rPr>
      <w:rFonts w:ascii="Times New Roman" w:eastAsia="Times New Roman" w:hAnsi="Times New Roman" w:cs="Times New Roman"/>
      <w:b/>
      <w:bCs/>
    </w:rPr>
  </w:style>
  <w:style w:type="paragraph" w:styleId="BodyText">
    <w:name w:val="Body Text"/>
    <w:basedOn w:val="Normal"/>
    <w:link w:val="BodyTextChar"/>
    <w:qFormat/>
    <w:pPr>
      <w:spacing w:line="302" w:lineRule="auto"/>
    </w:pPr>
    <w:rPr>
      <w:rFonts w:ascii="Times New Roman" w:eastAsia="Times New Roman" w:hAnsi="Times New Roman" w:cs="Times New Roman"/>
      <w:sz w:val="22"/>
      <w:szCs w:val="22"/>
    </w:rPr>
  </w:style>
  <w:style w:type="paragraph" w:customStyle="1" w:styleId="Bodytext30">
    <w:name w:val="Body text (3)"/>
    <w:basedOn w:val="Normal"/>
    <w:link w:val="Bodytext3"/>
    <w:pPr>
      <w:jc w:val="center"/>
    </w:pPr>
    <w:rPr>
      <w:rFonts w:ascii="Times New Roman" w:eastAsia="Times New Roman" w:hAnsi="Times New Roman" w:cs="Times New Roman"/>
      <w:b/>
      <w:bCs/>
      <w:sz w:val="28"/>
      <w:szCs w:val="28"/>
    </w:rPr>
  </w:style>
  <w:style w:type="paragraph" w:customStyle="1" w:styleId="Heading11">
    <w:name w:val="Heading #1"/>
    <w:basedOn w:val="Normal"/>
    <w:link w:val="Heading10"/>
    <w:pPr>
      <w:ind w:left="5190"/>
      <w:outlineLvl w:val="0"/>
    </w:pPr>
    <w:rPr>
      <w:rFonts w:ascii="Times New Roman" w:eastAsia="Times New Roman" w:hAnsi="Times New Roman" w:cs="Times New Roman"/>
      <w:b/>
      <w:bCs/>
      <w:sz w:val="28"/>
      <w:szCs w:val="28"/>
    </w:rPr>
  </w:style>
  <w:style w:type="paragraph" w:customStyle="1" w:styleId="Other0">
    <w:name w:val="Other"/>
    <w:basedOn w:val="Normal"/>
    <w:link w:val="Other"/>
    <w:pPr>
      <w:spacing w:line="302"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09" w:lineRule="auto"/>
    </w:pPr>
    <w:rPr>
      <w:rFonts w:ascii="Times New Roman" w:eastAsia="Times New Roman" w:hAnsi="Times New Roman" w:cs="Times New Roman"/>
      <w:color w:val="FF1923"/>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m/f18htxFLPU4yvr/K5H6pxZjw==">CgMxLjA4AHIhMUF6OHNaVDBRQ0l0TUM4U3N4MEFveDRLdzZWQ0FYckpo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2024-03-26T03:44:00Z</dcterms:created>
  <dcterms:modified xsi:type="dcterms:W3CDTF">2024-03-27T03:08:00Z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2d297109bd793968a1a2f6ec2e0f97f270c1a53b0ddc4e6a6048f4ad3efb75d0</vt:lpwstr>
  </property>
</Properties>
</file>