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D084B8" w:rsidR="00BC0FB4" w:rsidRPr="00714780" w:rsidRDefault="00714780" w:rsidP="004C75DF">
      <w:pPr>
        <w:pBdr>
          <w:top w:val="nil"/>
          <w:left w:val="nil"/>
          <w:bottom w:val="nil"/>
          <w:right w:val="nil"/>
          <w:between w:val="nil"/>
        </w:pBdr>
        <w:tabs>
          <w:tab w:val="left" w:pos="1297"/>
        </w:tabs>
        <w:spacing w:after="120" w:line="360" w:lineRule="auto"/>
        <w:jc w:val="both"/>
        <w:rPr>
          <w:rFonts w:ascii="Arial" w:eastAsia="Arial" w:hAnsi="Arial" w:cs="Arial"/>
          <w:b/>
          <w:color w:val="010000"/>
          <w:sz w:val="20"/>
          <w:szCs w:val="20"/>
        </w:rPr>
      </w:pPr>
      <w:r w:rsidRPr="00714780">
        <w:rPr>
          <w:rFonts w:ascii="Arial" w:hAnsi="Arial" w:cs="Arial"/>
          <w:b/>
          <w:bCs/>
          <w:color w:val="010000"/>
          <w:sz w:val="20"/>
        </w:rPr>
        <w:t>LO5:</w:t>
      </w:r>
      <w:r w:rsidRPr="00714780">
        <w:rPr>
          <w:rFonts w:ascii="Arial" w:hAnsi="Arial" w:cs="Arial"/>
          <w:b/>
          <w:color w:val="010000"/>
          <w:sz w:val="20"/>
        </w:rPr>
        <w:t xml:space="preserve"> Explanation of </w:t>
      </w:r>
      <w:r w:rsidR="004C75DF">
        <w:rPr>
          <w:rFonts w:ascii="Arial" w:hAnsi="Arial" w:cs="Arial"/>
          <w:b/>
          <w:color w:val="010000"/>
          <w:sz w:val="20"/>
        </w:rPr>
        <w:t>LO5 stock under continued trading restriction</w:t>
      </w:r>
    </w:p>
    <w:p w14:paraId="00000002" w14:textId="77777777" w:rsidR="00BC0FB4" w:rsidRPr="00714780" w:rsidRDefault="00714780" w:rsidP="004C75DF">
      <w:pPr>
        <w:pBdr>
          <w:top w:val="nil"/>
          <w:left w:val="nil"/>
          <w:bottom w:val="nil"/>
          <w:right w:val="nil"/>
          <w:between w:val="nil"/>
        </w:pBdr>
        <w:tabs>
          <w:tab w:val="left" w:pos="1297"/>
        </w:tabs>
        <w:spacing w:after="120" w:line="360" w:lineRule="auto"/>
        <w:jc w:val="both"/>
        <w:rPr>
          <w:rFonts w:ascii="Arial" w:eastAsia="Arial" w:hAnsi="Arial" w:cs="Arial"/>
          <w:color w:val="010000"/>
          <w:sz w:val="20"/>
          <w:szCs w:val="20"/>
        </w:rPr>
      </w:pPr>
      <w:r w:rsidRPr="00714780">
        <w:rPr>
          <w:rFonts w:ascii="Arial" w:hAnsi="Arial" w:cs="Arial"/>
          <w:color w:val="010000"/>
          <w:sz w:val="20"/>
        </w:rPr>
        <w:t xml:space="preserve">On March 21, 2024, </w:t>
      </w:r>
      <w:proofErr w:type="spellStart"/>
      <w:r w:rsidRPr="00714780">
        <w:rPr>
          <w:rFonts w:ascii="Arial" w:hAnsi="Arial" w:cs="Arial"/>
          <w:color w:val="010000"/>
          <w:sz w:val="20"/>
        </w:rPr>
        <w:t>Lilama</w:t>
      </w:r>
      <w:proofErr w:type="spellEnd"/>
      <w:r w:rsidRPr="00714780">
        <w:rPr>
          <w:rFonts w:ascii="Arial" w:hAnsi="Arial" w:cs="Arial"/>
          <w:color w:val="010000"/>
          <w:sz w:val="20"/>
        </w:rPr>
        <w:t xml:space="preserve"> No.5 JSC announced Official Dispatch No. 18/CT-TCKT explaining the reasons for maintaining trading restrictions on LO5 shares of </w:t>
      </w:r>
      <w:proofErr w:type="spellStart"/>
      <w:r w:rsidRPr="00714780">
        <w:rPr>
          <w:rFonts w:ascii="Arial" w:hAnsi="Arial" w:cs="Arial"/>
          <w:color w:val="010000"/>
          <w:sz w:val="20"/>
        </w:rPr>
        <w:t>Lilama</w:t>
      </w:r>
      <w:proofErr w:type="spellEnd"/>
      <w:r w:rsidRPr="00714780">
        <w:rPr>
          <w:rFonts w:ascii="Arial" w:hAnsi="Arial" w:cs="Arial"/>
          <w:color w:val="010000"/>
          <w:sz w:val="20"/>
        </w:rPr>
        <w:t xml:space="preserve"> No.5 JSC as follows:</w:t>
      </w:r>
    </w:p>
    <w:p w14:paraId="00000003" w14:textId="77777777" w:rsidR="00BC0FB4" w:rsidRPr="00714780" w:rsidRDefault="00714780" w:rsidP="004C75DF">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14780">
        <w:rPr>
          <w:rFonts w:ascii="Arial" w:hAnsi="Arial" w:cs="Arial"/>
          <w:color w:val="010000"/>
          <w:sz w:val="20"/>
        </w:rPr>
        <w:t>Regarding the reasons:</w:t>
      </w:r>
    </w:p>
    <w:p w14:paraId="00000004" w14:textId="70B2DBB1" w:rsidR="00BC0FB4" w:rsidRPr="00714780" w:rsidRDefault="00714780" w:rsidP="004C75D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14780">
        <w:rPr>
          <w:rFonts w:ascii="Arial" w:hAnsi="Arial" w:cs="Arial"/>
          <w:color w:val="010000"/>
          <w:sz w:val="20"/>
        </w:rPr>
        <w:t>Based on the Audited Financial Statements 2023</w:t>
      </w:r>
      <w:r w:rsidR="001809B1" w:rsidRPr="00714780">
        <w:rPr>
          <w:rFonts w:ascii="Arial" w:hAnsi="Arial" w:cs="Arial"/>
          <w:color w:val="010000"/>
          <w:sz w:val="20"/>
        </w:rPr>
        <w:t>, a</w:t>
      </w:r>
      <w:r w:rsidRPr="00714780">
        <w:rPr>
          <w:rFonts w:ascii="Arial" w:hAnsi="Arial" w:cs="Arial"/>
          <w:color w:val="010000"/>
          <w:sz w:val="20"/>
        </w:rPr>
        <w:t xml:space="preserve">s of December 31, 2023, </w:t>
      </w:r>
      <w:proofErr w:type="spellStart"/>
      <w:r w:rsidRPr="00714780">
        <w:rPr>
          <w:rFonts w:ascii="Arial" w:hAnsi="Arial" w:cs="Arial"/>
          <w:color w:val="010000"/>
          <w:sz w:val="20"/>
        </w:rPr>
        <w:t>Lilama</w:t>
      </w:r>
      <w:proofErr w:type="spellEnd"/>
      <w:r w:rsidRPr="00714780">
        <w:rPr>
          <w:rFonts w:ascii="Arial" w:hAnsi="Arial" w:cs="Arial"/>
          <w:color w:val="010000"/>
          <w:sz w:val="20"/>
        </w:rPr>
        <w:t xml:space="preserve"> No.5 JSC accumulated losses of VND 186,178 billion, of which the loss in 2023 was VND 18,570 billion, and the </w:t>
      </w:r>
      <w:r w:rsidR="004C75DF">
        <w:rPr>
          <w:rFonts w:ascii="Arial" w:hAnsi="Arial" w:cs="Arial"/>
          <w:color w:val="010000"/>
          <w:sz w:val="20"/>
        </w:rPr>
        <w:t>owner</w:t>
      </w:r>
      <w:r w:rsidRPr="00714780">
        <w:rPr>
          <w:rFonts w:ascii="Arial" w:hAnsi="Arial" w:cs="Arial"/>
          <w:color w:val="010000"/>
          <w:sz w:val="20"/>
        </w:rPr>
        <w:t>'</w:t>
      </w:r>
      <w:r w:rsidR="004C75DF">
        <w:rPr>
          <w:rFonts w:ascii="Arial" w:hAnsi="Arial" w:cs="Arial"/>
          <w:color w:val="010000"/>
          <w:sz w:val="20"/>
        </w:rPr>
        <w:t>s</w:t>
      </w:r>
      <w:r w:rsidRPr="00714780">
        <w:rPr>
          <w:rFonts w:ascii="Arial" w:hAnsi="Arial" w:cs="Arial"/>
          <w:color w:val="010000"/>
          <w:sz w:val="20"/>
        </w:rPr>
        <w:t xml:space="preserve"> equity was </w:t>
      </w:r>
      <w:r w:rsidR="004C75DF">
        <w:rPr>
          <w:rFonts w:ascii="Arial" w:hAnsi="Arial" w:cs="Arial"/>
          <w:color w:val="010000"/>
          <w:sz w:val="20"/>
        </w:rPr>
        <w:t xml:space="preserve">minus </w:t>
      </w:r>
      <w:r w:rsidRPr="00714780">
        <w:rPr>
          <w:rFonts w:ascii="Arial" w:hAnsi="Arial" w:cs="Arial"/>
          <w:color w:val="010000"/>
          <w:sz w:val="20"/>
        </w:rPr>
        <w:t>VND 111,268 billion, due to several reasons as follows:</w:t>
      </w:r>
    </w:p>
    <w:p w14:paraId="00000005" w14:textId="604151DE" w:rsidR="00BC0FB4" w:rsidRPr="00714780" w:rsidRDefault="004C75DF" w:rsidP="004C75DF">
      <w:pPr>
        <w:numPr>
          <w:ilvl w:val="0"/>
          <w:numId w:val="3"/>
        </w:numPr>
        <w:pBdr>
          <w:top w:val="nil"/>
          <w:left w:val="nil"/>
          <w:bottom w:val="nil"/>
          <w:right w:val="nil"/>
          <w:between w:val="nil"/>
        </w:pBdr>
        <w:tabs>
          <w:tab w:val="left" w:pos="720"/>
          <w:tab w:val="left" w:pos="1243"/>
        </w:tabs>
        <w:spacing w:after="120" w:line="360" w:lineRule="auto"/>
        <w:jc w:val="both"/>
        <w:rPr>
          <w:rFonts w:ascii="Arial" w:eastAsia="Arial" w:hAnsi="Arial" w:cs="Arial"/>
          <w:color w:val="010000"/>
          <w:sz w:val="20"/>
          <w:szCs w:val="20"/>
        </w:rPr>
      </w:pPr>
      <w:r>
        <w:rPr>
          <w:rFonts w:ascii="Arial" w:hAnsi="Arial" w:cs="Arial"/>
          <w:color w:val="010000"/>
          <w:sz w:val="20"/>
        </w:rPr>
        <w:t>In 2007, the C</w:t>
      </w:r>
      <w:r w:rsidR="00714780" w:rsidRPr="00714780">
        <w:rPr>
          <w:rFonts w:ascii="Arial" w:hAnsi="Arial" w:cs="Arial"/>
          <w:color w:val="010000"/>
          <w:sz w:val="20"/>
        </w:rPr>
        <w:t>ompany invested in an inefficient LILAMA welding material production plant and had to use short-term working capital to repay debts (both principal and interest), resulting in a high bank debt.</w:t>
      </w:r>
    </w:p>
    <w:p w14:paraId="00000006" w14:textId="77777777" w:rsidR="00BC0FB4" w:rsidRPr="00714780" w:rsidRDefault="00714780" w:rsidP="004C75DF">
      <w:pPr>
        <w:numPr>
          <w:ilvl w:val="0"/>
          <w:numId w:val="3"/>
        </w:numPr>
        <w:pBdr>
          <w:top w:val="nil"/>
          <w:left w:val="nil"/>
          <w:bottom w:val="nil"/>
          <w:right w:val="nil"/>
          <w:between w:val="nil"/>
        </w:pBdr>
        <w:tabs>
          <w:tab w:val="left" w:pos="720"/>
          <w:tab w:val="left" w:pos="1243"/>
        </w:tabs>
        <w:spacing w:after="120" w:line="360" w:lineRule="auto"/>
        <w:jc w:val="both"/>
        <w:rPr>
          <w:rFonts w:ascii="Arial" w:eastAsia="Arial" w:hAnsi="Arial" w:cs="Arial"/>
          <w:color w:val="010000"/>
          <w:sz w:val="20"/>
          <w:szCs w:val="20"/>
        </w:rPr>
      </w:pPr>
      <w:r w:rsidRPr="00714780">
        <w:rPr>
          <w:rFonts w:ascii="Arial" w:hAnsi="Arial" w:cs="Arial"/>
          <w:color w:val="010000"/>
          <w:sz w:val="20"/>
        </w:rPr>
        <w:t>Financial difficulties: Low annual revenue, and the profit from construction and installation production and business activities could not offset the fixed expenses from previous periods, such as interest expenses, depreciation of welding production lines, provision expenses, and accrued expenses.</w:t>
      </w:r>
    </w:p>
    <w:p w14:paraId="00000007" w14:textId="77777777" w:rsidR="00BC0FB4" w:rsidRPr="00714780" w:rsidRDefault="00714780" w:rsidP="004C75DF">
      <w:pPr>
        <w:numPr>
          <w:ilvl w:val="0"/>
          <w:numId w:val="3"/>
        </w:numPr>
        <w:pBdr>
          <w:top w:val="nil"/>
          <w:left w:val="nil"/>
          <w:bottom w:val="nil"/>
          <w:right w:val="nil"/>
          <w:between w:val="nil"/>
        </w:pBdr>
        <w:tabs>
          <w:tab w:val="left" w:pos="720"/>
          <w:tab w:val="left" w:pos="1239"/>
        </w:tabs>
        <w:spacing w:after="120" w:line="360" w:lineRule="auto"/>
        <w:jc w:val="both"/>
        <w:rPr>
          <w:rFonts w:ascii="Arial" w:eastAsia="Arial" w:hAnsi="Arial" w:cs="Arial"/>
          <w:color w:val="010000"/>
          <w:sz w:val="20"/>
          <w:szCs w:val="20"/>
        </w:rPr>
      </w:pPr>
      <w:r w:rsidRPr="00714780">
        <w:rPr>
          <w:rFonts w:ascii="Arial" w:hAnsi="Arial" w:cs="Arial"/>
          <w:color w:val="010000"/>
          <w:sz w:val="20"/>
        </w:rPr>
        <w:t xml:space="preserve">In 2023, the company settled by reducing revenue and transferring the outstanding expenses of certain projects, including the National Assembly Building, </w:t>
      </w:r>
      <w:proofErr w:type="spellStart"/>
      <w:r w:rsidRPr="00714780">
        <w:rPr>
          <w:rFonts w:ascii="Arial" w:hAnsi="Arial" w:cs="Arial"/>
          <w:color w:val="010000"/>
          <w:sz w:val="20"/>
        </w:rPr>
        <w:t>Bim</w:t>
      </w:r>
      <w:proofErr w:type="spellEnd"/>
      <w:r w:rsidRPr="00714780">
        <w:rPr>
          <w:rFonts w:ascii="Arial" w:hAnsi="Arial" w:cs="Arial"/>
          <w:color w:val="010000"/>
          <w:sz w:val="20"/>
        </w:rPr>
        <w:t xml:space="preserve"> Son Cement Grinding Station, and Tan Thang Cement Plant.</w:t>
      </w:r>
    </w:p>
    <w:p w14:paraId="00000008" w14:textId="617CEB38" w:rsidR="00BC0FB4" w:rsidRPr="00714780" w:rsidRDefault="00714780" w:rsidP="004C75DF">
      <w:pPr>
        <w:numPr>
          <w:ilvl w:val="0"/>
          <w:numId w:val="3"/>
        </w:numPr>
        <w:pBdr>
          <w:top w:val="nil"/>
          <w:left w:val="nil"/>
          <w:bottom w:val="nil"/>
          <w:right w:val="nil"/>
          <w:between w:val="nil"/>
        </w:pBdr>
        <w:tabs>
          <w:tab w:val="left" w:pos="720"/>
          <w:tab w:val="left" w:pos="1243"/>
        </w:tabs>
        <w:spacing w:after="120" w:line="360" w:lineRule="auto"/>
        <w:jc w:val="both"/>
        <w:rPr>
          <w:rFonts w:ascii="Arial" w:eastAsia="Arial" w:hAnsi="Arial" w:cs="Arial"/>
          <w:color w:val="010000"/>
          <w:sz w:val="20"/>
          <w:szCs w:val="20"/>
        </w:rPr>
      </w:pPr>
      <w:r w:rsidRPr="00714780">
        <w:rPr>
          <w:rFonts w:ascii="Arial" w:hAnsi="Arial" w:cs="Arial"/>
          <w:color w:val="010000"/>
          <w:sz w:val="20"/>
        </w:rPr>
        <w:t xml:space="preserve">The previous management and administration were not tightly controlled, some projects did not have lump-sum budgets, settlement budgets, or material settlement. The acceptance and debt collection work in some old projects, such as Thai Nguyen Steel Plant, Dragon Bridge </w:t>
      </w:r>
      <w:r w:rsidR="004C75DF">
        <w:rPr>
          <w:rFonts w:ascii="Arial" w:hAnsi="Arial" w:cs="Arial"/>
          <w:color w:val="010000"/>
          <w:sz w:val="20"/>
        </w:rPr>
        <w:t xml:space="preserve">of </w:t>
      </w:r>
      <w:proofErr w:type="spellStart"/>
      <w:r w:rsidRPr="00714780">
        <w:rPr>
          <w:rFonts w:ascii="Arial" w:hAnsi="Arial" w:cs="Arial"/>
          <w:color w:val="010000"/>
          <w:sz w:val="20"/>
        </w:rPr>
        <w:t>Danang</w:t>
      </w:r>
      <w:proofErr w:type="spellEnd"/>
      <w:r w:rsidRPr="00714780">
        <w:rPr>
          <w:rFonts w:ascii="Arial" w:hAnsi="Arial" w:cs="Arial"/>
          <w:color w:val="010000"/>
          <w:sz w:val="20"/>
        </w:rPr>
        <w:t xml:space="preserve">, </w:t>
      </w:r>
      <w:proofErr w:type="spellStart"/>
      <w:r w:rsidRPr="00714780">
        <w:rPr>
          <w:rFonts w:ascii="Arial" w:hAnsi="Arial" w:cs="Arial"/>
          <w:color w:val="010000"/>
          <w:sz w:val="20"/>
        </w:rPr>
        <w:t>Vung</w:t>
      </w:r>
      <w:proofErr w:type="spellEnd"/>
      <w:r w:rsidRPr="00714780">
        <w:rPr>
          <w:rFonts w:ascii="Arial" w:hAnsi="Arial" w:cs="Arial"/>
          <w:color w:val="010000"/>
          <w:sz w:val="20"/>
        </w:rPr>
        <w:t xml:space="preserve"> </w:t>
      </w:r>
      <w:proofErr w:type="spellStart"/>
      <w:r w:rsidRPr="00714780">
        <w:rPr>
          <w:rFonts w:ascii="Arial" w:hAnsi="Arial" w:cs="Arial"/>
          <w:color w:val="010000"/>
          <w:sz w:val="20"/>
        </w:rPr>
        <w:t>Ang</w:t>
      </w:r>
      <w:proofErr w:type="spellEnd"/>
      <w:r w:rsidRPr="00714780">
        <w:rPr>
          <w:rFonts w:ascii="Arial" w:hAnsi="Arial" w:cs="Arial"/>
          <w:color w:val="010000"/>
          <w:sz w:val="20"/>
        </w:rPr>
        <w:t xml:space="preserve"> 1 Thermal Power Plant </w:t>
      </w:r>
      <w:proofErr w:type="spellStart"/>
      <w:r w:rsidRPr="00714780">
        <w:rPr>
          <w:rFonts w:ascii="Arial" w:hAnsi="Arial" w:cs="Arial"/>
          <w:color w:val="010000"/>
          <w:sz w:val="20"/>
        </w:rPr>
        <w:t>Lilama</w:t>
      </w:r>
      <w:proofErr w:type="spellEnd"/>
      <w:r w:rsidRPr="00714780">
        <w:rPr>
          <w:rFonts w:ascii="Arial" w:hAnsi="Arial" w:cs="Arial"/>
          <w:color w:val="010000"/>
          <w:sz w:val="20"/>
        </w:rPr>
        <w:t xml:space="preserve"> 45-1, Ha Long Cement, and inefficient welding rod customers.</w:t>
      </w:r>
    </w:p>
    <w:p w14:paraId="00000009" w14:textId="77777777" w:rsidR="00BC0FB4" w:rsidRPr="00714780" w:rsidRDefault="00714780" w:rsidP="004C75DF">
      <w:pPr>
        <w:numPr>
          <w:ilvl w:val="0"/>
          <w:numId w:val="2"/>
        </w:numPr>
        <w:pBdr>
          <w:top w:val="nil"/>
          <w:left w:val="nil"/>
          <w:bottom w:val="nil"/>
          <w:right w:val="nil"/>
          <w:between w:val="nil"/>
        </w:pBdr>
        <w:tabs>
          <w:tab w:val="left" w:pos="720"/>
          <w:tab w:val="left" w:pos="1336"/>
        </w:tabs>
        <w:spacing w:after="120" w:line="360" w:lineRule="auto"/>
        <w:jc w:val="both"/>
        <w:rPr>
          <w:rFonts w:ascii="Arial" w:eastAsia="Arial" w:hAnsi="Arial" w:cs="Arial"/>
          <w:color w:val="010000"/>
          <w:sz w:val="20"/>
          <w:szCs w:val="20"/>
        </w:rPr>
      </w:pPr>
      <w:r w:rsidRPr="00714780">
        <w:rPr>
          <w:rFonts w:ascii="Arial" w:hAnsi="Arial" w:cs="Arial"/>
          <w:color w:val="010000"/>
          <w:sz w:val="20"/>
        </w:rPr>
        <w:t>Remedy plan:</w:t>
      </w:r>
    </w:p>
    <w:p w14:paraId="0000000A" w14:textId="77777777" w:rsidR="00BC0FB4" w:rsidRPr="00714780" w:rsidRDefault="00714780" w:rsidP="004C75DF">
      <w:pPr>
        <w:numPr>
          <w:ilvl w:val="1"/>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714780">
        <w:rPr>
          <w:rFonts w:ascii="Arial" w:hAnsi="Arial" w:cs="Arial"/>
          <w:color w:val="010000"/>
          <w:sz w:val="20"/>
        </w:rPr>
        <w:t>Short-term measures:</w:t>
      </w:r>
    </w:p>
    <w:p w14:paraId="0000000B" w14:textId="77777777" w:rsidR="00BC0FB4" w:rsidRPr="00714780" w:rsidRDefault="00714780" w:rsidP="004C75DF">
      <w:pPr>
        <w:numPr>
          <w:ilvl w:val="0"/>
          <w:numId w:val="3"/>
        </w:numPr>
        <w:pBdr>
          <w:top w:val="nil"/>
          <w:left w:val="nil"/>
          <w:bottom w:val="nil"/>
          <w:right w:val="nil"/>
          <w:between w:val="nil"/>
        </w:pBdr>
        <w:tabs>
          <w:tab w:val="left" w:pos="720"/>
          <w:tab w:val="left" w:pos="1239"/>
        </w:tabs>
        <w:spacing w:after="120" w:line="360" w:lineRule="auto"/>
        <w:jc w:val="both"/>
        <w:rPr>
          <w:rFonts w:ascii="Arial" w:eastAsia="Arial" w:hAnsi="Arial" w:cs="Arial"/>
          <w:color w:val="010000"/>
          <w:sz w:val="20"/>
          <w:szCs w:val="20"/>
        </w:rPr>
      </w:pPr>
      <w:r w:rsidRPr="00714780">
        <w:rPr>
          <w:rFonts w:ascii="Arial" w:hAnsi="Arial" w:cs="Arial"/>
          <w:color w:val="010000"/>
          <w:sz w:val="20"/>
        </w:rPr>
        <w:t xml:space="preserve">Continuing to propose support from the Holding Company in marketing activities, bidding and job search as well as capital sources for production and business through advances, payments, and settlement of contracts between </w:t>
      </w:r>
      <w:proofErr w:type="spellStart"/>
      <w:r w:rsidRPr="00714780">
        <w:rPr>
          <w:rFonts w:ascii="Arial" w:hAnsi="Arial" w:cs="Arial"/>
          <w:color w:val="010000"/>
          <w:sz w:val="20"/>
        </w:rPr>
        <w:t>Lilama</w:t>
      </w:r>
      <w:proofErr w:type="spellEnd"/>
      <w:r w:rsidRPr="00714780">
        <w:rPr>
          <w:rFonts w:ascii="Arial" w:hAnsi="Arial" w:cs="Arial"/>
          <w:color w:val="010000"/>
          <w:sz w:val="20"/>
        </w:rPr>
        <w:t xml:space="preserve"> No.5 JSC and the Parent Company.</w:t>
      </w:r>
    </w:p>
    <w:p w14:paraId="0000000C" w14:textId="77777777" w:rsidR="00BC0FB4" w:rsidRPr="00714780" w:rsidRDefault="00714780" w:rsidP="004C75DF">
      <w:pPr>
        <w:numPr>
          <w:ilvl w:val="0"/>
          <w:numId w:val="3"/>
        </w:numPr>
        <w:pBdr>
          <w:top w:val="nil"/>
          <w:left w:val="nil"/>
          <w:bottom w:val="nil"/>
          <w:right w:val="nil"/>
          <w:between w:val="nil"/>
        </w:pBdr>
        <w:tabs>
          <w:tab w:val="left" w:pos="720"/>
          <w:tab w:val="left" w:pos="1236"/>
        </w:tabs>
        <w:spacing w:after="120" w:line="360" w:lineRule="auto"/>
        <w:jc w:val="both"/>
        <w:rPr>
          <w:rFonts w:ascii="Arial" w:eastAsia="Arial" w:hAnsi="Arial" w:cs="Arial"/>
          <w:color w:val="010000"/>
          <w:sz w:val="20"/>
          <w:szCs w:val="20"/>
        </w:rPr>
      </w:pPr>
      <w:r w:rsidRPr="00714780">
        <w:rPr>
          <w:rFonts w:ascii="Arial" w:hAnsi="Arial" w:cs="Arial"/>
          <w:color w:val="010000"/>
          <w:sz w:val="20"/>
        </w:rPr>
        <w:t>Actively direct the acceptance and debt recovery.</w:t>
      </w:r>
    </w:p>
    <w:p w14:paraId="0000000D" w14:textId="77777777" w:rsidR="00BC0FB4" w:rsidRPr="00714780" w:rsidRDefault="00714780" w:rsidP="004C75DF">
      <w:pPr>
        <w:numPr>
          <w:ilvl w:val="0"/>
          <w:numId w:val="3"/>
        </w:numPr>
        <w:pBdr>
          <w:top w:val="nil"/>
          <w:left w:val="nil"/>
          <w:bottom w:val="nil"/>
          <w:right w:val="nil"/>
          <w:between w:val="nil"/>
        </w:pBdr>
        <w:tabs>
          <w:tab w:val="left" w:pos="720"/>
          <w:tab w:val="left" w:pos="1239"/>
        </w:tabs>
        <w:spacing w:after="120" w:line="360" w:lineRule="auto"/>
        <w:jc w:val="both"/>
        <w:rPr>
          <w:rFonts w:ascii="Arial" w:eastAsia="Arial" w:hAnsi="Arial" w:cs="Arial"/>
          <w:color w:val="010000"/>
          <w:sz w:val="20"/>
          <w:szCs w:val="20"/>
        </w:rPr>
      </w:pPr>
      <w:r w:rsidRPr="00714780">
        <w:rPr>
          <w:rFonts w:ascii="Arial" w:hAnsi="Arial" w:cs="Arial"/>
          <w:color w:val="010000"/>
          <w:sz w:val="20"/>
        </w:rPr>
        <w:t>Enhance customer search to implement the restructuring of welding production machinery and equipment.</w:t>
      </w:r>
    </w:p>
    <w:p w14:paraId="0000000E" w14:textId="77777777" w:rsidR="00BC0FB4" w:rsidRPr="00714780" w:rsidRDefault="00714780" w:rsidP="004C75DF">
      <w:pPr>
        <w:numPr>
          <w:ilvl w:val="0"/>
          <w:numId w:val="3"/>
        </w:numPr>
        <w:pBdr>
          <w:top w:val="nil"/>
          <w:left w:val="nil"/>
          <w:bottom w:val="nil"/>
          <w:right w:val="nil"/>
          <w:between w:val="nil"/>
        </w:pBdr>
        <w:tabs>
          <w:tab w:val="left" w:pos="720"/>
          <w:tab w:val="left" w:pos="1236"/>
        </w:tabs>
        <w:spacing w:after="120" w:line="360" w:lineRule="auto"/>
        <w:jc w:val="both"/>
        <w:rPr>
          <w:rFonts w:ascii="Arial" w:eastAsia="Arial" w:hAnsi="Arial" w:cs="Arial"/>
          <w:color w:val="010000"/>
          <w:sz w:val="20"/>
          <w:szCs w:val="20"/>
        </w:rPr>
      </w:pPr>
      <w:r w:rsidRPr="00714780">
        <w:rPr>
          <w:rFonts w:ascii="Arial" w:hAnsi="Arial" w:cs="Arial"/>
          <w:color w:val="010000"/>
          <w:sz w:val="20"/>
        </w:rPr>
        <w:t>Direct project implementation to ensure progress, quality, and safety.</w:t>
      </w:r>
    </w:p>
    <w:p w14:paraId="0000000F" w14:textId="77777777" w:rsidR="00BC0FB4" w:rsidRPr="00714780" w:rsidRDefault="00714780" w:rsidP="004C75DF">
      <w:pPr>
        <w:numPr>
          <w:ilvl w:val="0"/>
          <w:numId w:val="3"/>
        </w:numPr>
        <w:pBdr>
          <w:top w:val="nil"/>
          <w:left w:val="nil"/>
          <w:bottom w:val="nil"/>
          <w:right w:val="nil"/>
          <w:between w:val="nil"/>
        </w:pBdr>
        <w:tabs>
          <w:tab w:val="left" w:pos="720"/>
          <w:tab w:val="left" w:pos="1236"/>
        </w:tabs>
        <w:spacing w:after="120" w:line="360" w:lineRule="auto"/>
        <w:jc w:val="both"/>
        <w:rPr>
          <w:rFonts w:ascii="Arial" w:eastAsia="Arial" w:hAnsi="Arial" w:cs="Arial"/>
          <w:color w:val="010000"/>
          <w:sz w:val="20"/>
          <w:szCs w:val="20"/>
        </w:rPr>
      </w:pPr>
      <w:r w:rsidRPr="00714780">
        <w:rPr>
          <w:rFonts w:ascii="Arial" w:hAnsi="Arial" w:cs="Arial"/>
          <w:color w:val="010000"/>
          <w:sz w:val="20"/>
        </w:rPr>
        <w:t>Achieve revenue targets beyond the plan.</w:t>
      </w:r>
    </w:p>
    <w:p w14:paraId="00000010" w14:textId="77777777" w:rsidR="00BC0FB4" w:rsidRPr="00714780" w:rsidRDefault="00714780" w:rsidP="004C75DF">
      <w:pPr>
        <w:numPr>
          <w:ilvl w:val="0"/>
          <w:numId w:val="3"/>
        </w:numPr>
        <w:pBdr>
          <w:top w:val="nil"/>
          <w:left w:val="nil"/>
          <w:bottom w:val="nil"/>
          <w:right w:val="nil"/>
          <w:between w:val="nil"/>
        </w:pBdr>
        <w:tabs>
          <w:tab w:val="left" w:pos="720"/>
          <w:tab w:val="left" w:pos="1410"/>
        </w:tabs>
        <w:spacing w:after="120" w:line="360" w:lineRule="auto"/>
        <w:jc w:val="both"/>
        <w:rPr>
          <w:rFonts w:ascii="Arial" w:eastAsia="Arial" w:hAnsi="Arial" w:cs="Arial"/>
          <w:color w:val="010000"/>
          <w:sz w:val="20"/>
          <w:szCs w:val="20"/>
        </w:rPr>
      </w:pPr>
      <w:r w:rsidRPr="00714780">
        <w:rPr>
          <w:rFonts w:ascii="Arial" w:hAnsi="Arial" w:cs="Arial"/>
          <w:color w:val="010000"/>
          <w:sz w:val="20"/>
        </w:rPr>
        <w:t>Reduce production and business service expenses.</w:t>
      </w:r>
    </w:p>
    <w:p w14:paraId="00000011" w14:textId="77777777" w:rsidR="00BC0FB4" w:rsidRPr="00714780" w:rsidRDefault="00714780" w:rsidP="004C75DF">
      <w:pPr>
        <w:numPr>
          <w:ilvl w:val="0"/>
          <w:numId w:val="3"/>
        </w:numPr>
        <w:pBdr>
          <w:top w:val="nil"/>
          <w:left w:val="nil"/>
          <w:bottom w:val="nil"/>
          <w:right w:val="nil"/>
          <w:between w:val="nil"/>
        </w:pBdr>
        <w:tabs>
          <w:tab w:val="left" w:pos="720"/>
          <w:tab w:val="left" w:pos="1410"/>
        </w:tabs>
        <w:spacing w:after="120" w:line="360" w:lineRule="auto"/>
        <w:jc w:val="both"/>
        <w:rPr>
          <w:rFonts w:ascii="Arial" w:eastAsia="Arial" w:hAnsi="Arial" w:cs="Arial"/>
          <w:color w:val="010000"/>
          <w:sz w:val="20"/>
          <w:szCs w:val="20"/>
        </w:rPr>
      </w:pPr>
      <w:r w:rsidRPr="00714780">
        <w:rPr>
          <w:rFonts w:ascii="Arial" w:hAnsi="Arial" w:cs="Arial"/>
          <w:color w:val="010000"/>
          <w:sz w:val="20"/>
        </w:rPr>
        <w:t>Strategic office staffing to align with the company's production and business situation.</w:t>
      </w:r>
    </w:p>
    <w:p w14:paraId="00000012" w14:textId="09EE46A3" w:rsidR="00BC0FB4" w:rsidRPr="00714780" w:rsidRDefault="00714780" w:rsidP="004C75DF">
      <w:pPr>
        <w:numPr>
          <w:ilvl w:val="0"/>
          <w:numId w:val="3"/>
        </w:numPr>
        <w:pBdr>
          <w:top w:val="nil"/>
          <w:left w:val="nil"/>
          <w:bottom w:val="nil"/>
          <w:right w:val="nil"/>
          <w:between w:val="nil"/>
        </w:pBdr>
        <w:tabs>
          <w:tab w:val="left" w:pos="720"/>
          <w:tab w:val="left" w:pos="1410"/>
        </w:tabs>
        <w:spacing w:after="120" w:line="360" w:lineRule="auto"/>
        <w:jc w:val="both"/>
        <w:rPr>
          <w:rFonts w:ascii="Arial" w:eastAsia="Arial" w:hAnsi="Arial" w:cs="Arial"/>
          <w:color w:val="010000"/>
          <w:sz w:val="20"/>
          <w:szCs w:val="20"/>
        </w:rPr>
      </w:pPr>
      <w:r w:rsidRPr="00714780">
        <w:rPr>
          <w:rFonts w:ascii="Arial" w:hAnsi="Arial" w:cs="Arial"/>
          <w:color w:val="010000"/>
          <w:sz w:val="20"/>
        </w:rPr>
        <w:t xml:space="preserve">Continue to work with Vietnam Joint Stock Commercial Bank for Industry and Trade, Joint Stock </w:t>
      </w:r>
      <w:r w:rsidRPr="00714780">
        <w:rPr>
          <w:rFonts w:ascii="Arial" w:hAnsi="Arial" w:cs="Arial"/>
          <w:color w:val="010000"/>
          <w:sz w:val="20"/>
        </w:rPr>
        <w:lastRenderedPageBreak/>
        <w:t>Commercial Bank for Investment and Developme</w:t>
      </w:r>
      <w:r w:rsidR="004C75DF">
        <w:rPr>
          <w:rFonts w:ascii="Arial" w:hAnsi="Arial" w:cs="Arial"/>
          <w:color w:val="010000"/>
          <w:sz w:val="20"/>
        </w:rPr>
        <w:t>nt of Vietnam, and customers allowing for rescheduling</w:t>
      </w:r>
      <w:r w:rsidRPr="00714780">
        <w:rPr>
          <w:rFonts w:ascii="Arial" w:hAnsi="Arial" w:cs="Arial"/>
          <w:color w:val="010000"/>
          <w:sz w:val="20"/>
        </w:rPr>
        <w:t xml:space="preserve"> </w:t>
      </w:r>
      <w:r w:rsidR="004C75DF">
        <w:rPr>
          <w:rFonts w:ascii="Arial" w:hAnsi="Arial" w:cs="Arial"/>
          <w:color w:val="010000"/>
          <w:sz w:val="20"/>
        </w:rPr>
        <w:t>of debt payment</w:t>
      </w:r>
      <w:bookmarkStart w:id="0" w:name="_GoBack"/>
      <w:bookmarkEnd w:id="0"/>
      <w:r w:rsidRPr="00714780">
        <w:rPr>
          <w:rFonts w:ascii="Arial" w:hAnsi="Arial" w:cs="Arial"/>
          <w:color w:val="010000"/>
          <w:sz w:val="20"/>
        </w:rPr>
        <w:t>.</w:t>
      </w:r>
    </w:p>
    <w:p w14:paraId="00000013" w14:textId="77777777" w:rsidR="00BC0FB4" w:rsidRPr="00714780" w:rsidRDefault="00714780" w:rsidP="004C75DF">
      <w:pPr>
        <w:numPr>
          <w:ilvl w:val="0"/>
          <w:numId w:val="3"/>
        </w:numPr>
        <w:pBdr>
          <w:top w:val="nil"/>
          <w:left w:val="nil"/>
          <w:bottom w:val="nil"/>
          <w:right w:val="nil"/>
          <w:between w:val="nil"/>
        </w:pBdr>
        <w:tabs>
          <w:tab w:val="left" w:pos="720"/>
          <w:tab w:val="left" w:pos="1414"/>
        </w:tabs>
        <w:spacing w:after="120" w:line="360" w:lineRule="auto"/>
        <w:jc w:val="both"/>
        <w:rPr>
          <w:rFonts w:ascii="Arial" w:eastAsia="Arial" w:hAnsi="Arial" w:cs="Arial"/>
          <w:color w:val="010000"/>
          <w:sz w:val="20"/>
          <w:szCs w:val="20"/>
        </w:rPr>
      </w:pPr>
      <w:r w:rsidRPr="00714780">
        <w:rPr>
          <w:rFonts w:ascii="Arial" w:hAnsi="Arial" w:cs="Arial"/>
          <w:color w:val="010000"/>
          <w:sz w:val="20"/>
        </w:rPr>
        <w:t>Liquidate damaged or obsolete machinery, equipment, materials, tools, and instruments to supplement capital.</w:t>
      </w:r>
    </w:p>
    <w:p w14:paraId="00000014" w14:textId="77777777" w:rsidR="00BC0FB4" w:rsidRPr="00714780" w:rsidRDefault="00714780" w:rsidP="004C75DF">
      <w:pPr>
        <w:numPr>
          <w:ilvl w:val="1"/>
          <w:numId w:val="1"/>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714780">
        <w:rPr>
          <w:rFonts w:ascii="Arial" w:hAnsi="Arial" w:cs="Arial"/>
          <w:color w:val="010000"/>
          <w:sz w:val="20"/>
        </w:rPr>
        <w:t>Long-term measures:</w:t>
      </w:r>
    </w:p>
    <w:p w14:paraId="00000015" w14:textId="77777777" w:rsidR="00BC0FB4" w:rsidRPr="00714780" w:rsidRDefault="00714780" w:rsidP="004C75DF">
      <w:pPr>
        <w:pBdr>
          <w:top w:val="nil"/>
          <w:left w:val="nil"/>
          <w:bottom w:val="nil"/>
          <w:right w:val="nil"/>
          <w:between w:val="nil"/>
        </w:pBdr>
        <w:spacing w:after="120" w:line="360" w:lineRule="auto"/>
        <w:jc w:val="both"/>
        <w:rPr>
          <w:rFonts w:ascii="Arial" w:eastAsia="Arial" w:hAnsi="Arial" w:cs="Arial"/>
          <w:color w:val="010000"/>
          <w:sz w:val="20"/>
          <w:szCs w:val="20"/>
        </w:rPr>
      </w:pPr>
      <w:r w:rsidRPr="00714780">
        <w:rPr>
          <w:rFonts w:ascii="Arial" w:hAnsi="Arial" w:cs="Arial"/>
          <w:color w:val="010000"/>
          <w:sz w:val="20"/>
        </w:rPr>
        <w:t>Restructure and sell headquarter/factory assets to repay bank debts and supplement capital for production and business.</w:t>
      </w:r>
    </w:p>
    <w:sectPr w:rsidR="00BC0FB4" w:rsidRPr="00714780" w:rsidSect="004C5F6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307E"/>
    <w:multiLevelType w:val="multilevel"/>
    <w:tmpl w:val="14E4F66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320196E"/>
    <w:multiLevelType w:val="multilevel"/>
    <w:tmpl w:val="7E38AD8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F0C3AD9"/>
    <w:multiLevelType w:val="multilevel"/>
    <w:tmpl w:val="48147334"/>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B4"/>
    <w:rsid w:val="001809B1"/>
    <w:rsid w:val="004C5F60"/>
    <w:rsid w:val="004C75DF"/>
    <w:rsid w:val="00714780"/>
    <w:rsid w:val="00BC0FB4"/>
    <w:rsid w:val="00E8655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756C"/>
  <w15:docId w15:val="{C8832141-6D3C-442D-A4E5-6BDA716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92F64"/>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color w:val="0C0958"/>
      <w:sz w:val="38"/>
      <w:szCs w:val="3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7F193C"/>
      <w:sz w:val="19"/>
      <w:szCs w:val="1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7F193C"/>
      <w:sz w:val="15"/>
      <w:szCs w:val="15"/>
      <w:u w:val="singl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40">
    <w:name w:val="Văn bản nội dung (4)"/>
    <w:basedOn w:val="Normal"/>
    <w:link w:val="Vnbnnidung4"/>
    <w:rPr>
      <w:rFonts w:ascii="Arial" w:eastAsia="Arial" w:hAnsi="Arial" w:cs="Arial"/>
      <w:color w:val="B92F64"/>
    </w:rPr>
  </w:style>
  <w:style w:type="paragraph" w:customStyle="1" w:styleId="Vnbnnidung60">
    <w:name w:val="Văn bản nội dung (6)"/>
    <w:basedOn w:val="Normal"/>
    <w:link w:val="Vnbnnidung6"/>
    <w:rPr>
      <w:rFonts w:ascii="Arial" w:eastAsia="Arial" w:hAnsi="Arial" w:cs="Arial"/>
      <w:color w:val="0C0958"/>
      <w:sz w:val="38"/>
      <w:szCs w:val="38"/>
    </w:rPr>
  </w:style>
  <w:style w:type="paragraph" w:customStyle="1" w:styleId="Vnbnnidung50">
    <w:name w:val="Văn bản nội dung (5)"/>
    <w:basedOn w:val="Normal"/>
    <w:link w:val="Vnbnnidung5"/>
    <w:pPr>
      <w:ind w:left="760"/>
    </w:pPr>
    <w:rPr>
      <w:rFonts w:ascii="Arial" w:eastAsia="Arial" w:hAnsi="Arial" w:cs="Arial"/>
      <w:color w:val="7F193C"/>
      <w:sz w:val="19"/>
      <w:szCs w:val="19"/>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98" w:lineRule="auto"/>
      <w:ind w:left="600" w:firstLine="920"/>
    </w:pPr>
    <w:rPr>
      <w:rFonts w:ascii="Arial" w:eastAsia="Arial" w:hAnsi="Arial" w:cs="Arial"/>
      <w:color w:val="7F193C"/>
      <w:sz w:val="15"/>
      <w:szCs w:val="15"/>
      <w:u w:val="single"/>
    </w:rPr>
  </w:style>
  <w:style w:type="paragraph" w:customStyle="1" w:styleId="Vnbnnidung30">
    <w:name w:val="Văn bản nội dung (3)"/>
    <w:basedOn w:val="Normal"/>
    <w:link w:val="Vnbnnidung3"/>
    <w:pPr>
      <w:ind w:firstLine="58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zF/KipmGe4ffV+HFtptOgOiNmw==">CgMxLjA4AHIhMTQ3RWQ4Q2YwWGFDQnlGMnJFSldtWjd0ZkFKdEhseWk3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2024-03-28T03:50:00Z</dcterms:created>
  <dcterms:modified xsi:type="dcterms:W3CDTF">2024-03-28T03:50:00Z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e789d64eaaf671ac4ab1b4b9e7b53e7d2f7144745461e82834dd6bafd8aeea53</vt:lpwstr>
  </property>
</Properties>
</file>