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F8CB8" w14:textId="77777777" w:rsidR="005E282E" w:rsidRPr="00287DC2" w:rsidRDefault="00E55595" w:rsidP="000022D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87DC2">
        <w:rPr>
          <w:rFonts w:ascii="Arial" w:hAnsi="Arial" w:cs="Arial"/>
          <w:b/>
          <w:color w:val="010000"/>
          <w:sz w:val="20"/>
        </w:rPr>
        <w:t xml:space="preserve">NTH: Board Resolution </w:t>
      </w:r>
    </w:p>
    <w:p w14:paraId="7D965890" w14:textId="77777777" w:rsidR="005E282E" w:rsidRPr="00287DC2" w:rsidRDefault="00E55595" w:rsidP="000022D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7DC2">
        <w:rPr>
          <w:rFonts w:ascii="Arial" w:hAnsi="Arial" w:cs="Arial"/>
          <w:color w:val="010000"/>
          <w:sz w:val="20"/>
        </w:rPr>
        <w:t xml:space="preserve">On March 23, 2024, </w:t>
      </w:r>
      <w:proofErr w:type="spellStart"/>
      <w:r w:rsidRPr="00287DC2">
        <w:rPr>
          <w:rFonts w:ascii="Arial" w:hAnsi="Arial" w:cs="Arial"/>
          <w:color w:val="010000"/>
          <w:sz w:val="20"/>
        </w:rPr>
        <w:t>Nuoc</w:t>
      </w:r>
      <w:proofErr w:type="spellEnd"/>
      <w:r w:rsidRPr="00287DC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87DC2">
        <w:rPr>
          <w:rFonts w:ascii="Arial" w:hAnsi="Arial" w:cs="Arial"/>
          <w:color w:val="010000"/>
          <w:sz w:val="20"/>
        </w:rPr>
        <w:t>trong</w:t>
      </w:r>
      <w:proofErr w:type="spellEnd"/>
      <w:r w:rsidRPr="00287DC2">
        <w:rPr>
          <w:rFonts w:ascii="Arial" w:hAnsi="Arial" w:cs="Arial"/>
          <w:color w:val="010000"/>
          <w:sz w:val="20"/>
        </w:rPr>
        <w:t xml:space="preserve"> Hydro-Power Joint Stock Company announced Resolution No. 07/2024/NQ-HDQT as follows:</w:t>
      </w:r>
    </w:p>
    <w:p w14:paraId="0BD097D5" w14:textId="77777777" w:rsidR="005E282E" w:rsidRPr="00287DC2" w:rsidRDefault="00E55595" w:rsidP="000022D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7DC2">
        <w:rPr>
          <w:rFonts w:ascii="Arial" w:hAnsi="Arial" w:cs="Arial"/>
          <w:color w:val="010000"/>
          <w:sz w:val="20"/>
        </w:rPr>
        <w:t>Article 1: Approve the following contents:</w:t>
      </w:r>
    </w:p>
    <w:p w14:paraId="5C5D823F" w14:textId="7EE5084A" w:rsidR="005E282E" w:rsidRPr="00287DC2" w:rsidRDefault="00E55595" w:rsidP="000022D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7DC2">
        <w:rPr>
          <w:rFonts w:ascii="Arial" w:hAnsi="Arial" w:cs="Arial"/>
          <w:color w:val="010000"/>
          <w:sz w:val="20"/>
        </w:rPr>
        <w:t>The Audited Financial Statements 2023 presented at the Annual General Meeting of Shareholders 2024.</w:t>
      </w:r>
    </w:p>
    <w:p w14:paraId="0A5A89C0" w14:textId="2726FBF5" w:rsidR="005E282E" w:rsidRPr="00287DC2" w:rsidRDefault="00E55595" w:rsidP="000022D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7DC2">
        <w:rPr>
          <w:rFonts w:ascii="Arial" w:hAnsi="Arial" w:cs="Arial"/>
          <w:color w:val="010000"/>
          <w:sz w:val="20"/>
        </w:rPr>
        <w:t xml:space="preserve">The Production and business result in 2023, the profit distribution plan for 2024, and </w:t>
      </w:r>
      <w:r w:rsidR="00287DC2" w:rsidRPr="00287DC2">
        <w:rPr>
          <w:rFonts w:ascii="Arial" w:hAnsi="Arial" w:cs="Arial"/>
          <w:color w:val="010000"/>
          <w:sz w:val="20"/>
        </w:rPr>
        <w:t xml:space="preserve">submitted </w:t>
      </w:r>
      <w:r w:rsidRPr="00287DC2">
        <w:rPr>
          <w:rFonts w:ascii="Arial" w:hAnsi="Arial" w:cs="Arial"/>
          <w:color w:val="010000"/>
          <w:sz w:val="20"/>
        </w:rPr>
        <w:t>at the Annual General Meeting of Shareholders 2024 include:</w:t>
      </w:r>
    </w:p>
    <w:p w14:paraId="4E633C94" w14:textId="77777777" w:rsidR="005E282E" w:rsidRPr="00287DC2" w:rsidRDefault="00E55595" w:rsidP="00E5559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87DC2">
        <w:rPr>
          <w:rFonts w:ascii="Arial" w:hAnsi="Arial" w:cs="Arial"/>
          <w:color w:val="010000"/>
          <w:sz w:val="20"/>
        </w:rPr>
        <w:t>Production and business results in 2023.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0"/>
        <w:gridCol w:w="4240"/>
        <w:gridCol w:w="1280"/>
        <w:gridCol w:w="1354"/>
        <w:gridCol w:w="1383"/>
      </w:tblGrid>
      <w:tr w:rsidR="005E282E" w:rsidRPr="00287DC2" w14:paraId="6E6CB882" w14:textId="77777777" w:rsidTr="00E55595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7CB96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A20D2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9DE46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0EFEE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2023 Plan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168C3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2023 Results</w:t>
            </w:r>
          </w:p>
        </w:tc>
      </w:tr>
      <w:tr w:rsidR="005E282E" w:rsidRPr="00287DC2" w14:paraId="7AD32B8A" w14:textId="77777777" w:rsidTr="00E55595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F51DB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41781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A65448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C0C46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90,316.78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FA328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116,312.35</w:t>
            </w:r>
          </w:p>
        </w:tc>
      </w:tr>
      <w:tr w:rsidR="005E282E" w:rsidRPr="00287DC2" w14:paraId="2B03A157" w14:textId="77777777" w:rsidTr="00E55595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A508F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14880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Expenses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74C71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FC3AC7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54,524.56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7D92F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58,184.30</w:t>
            </w:r>
          </w:p>
        </w:tc>
      </w:tr>
      <w:tr w:rsidR="005E282E" w:rsidRPr="00287DC2" w14:paraId="3ADBA448" w14:textId="77777777" w:rsidTr="00E55595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1421A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1A9D9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DD1D6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27B6B7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35,792.22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95841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58,128.05</w:t>
            </w:r>
          </w:p>
        </w:tc>
      </w:tr>
      <w:tr w:rsidR="005E282E" w:rsidRPr="00287DC2" w14:paraId="6F9EF583" w14:textId="77777777" w:rsidTr="00E55595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A42DD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3D08F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4C13C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5F8FB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1,813.61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D9B63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2,943.61</w:t>
            </w:r>
          </w:p>
        </w:tc>
      </w:tr>
      <w:tr w:rsidR="005E282E" w:rsidRPr="00287DC2" w14:paraId="399BE5F3" w14:textId="77777777" w:rsidTr="00E55595">
        <w:tc>
          <w:tcPr>
            <w:tcW w:w="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D868B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3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F6854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320C39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BB8E7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33,978.61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C159B8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55,184.44</w:t>
            </w:r>
          </w:p>
        </w:tc>
      </w:tr>
    </w:tbl>
    <w:p w14:paraId="2CD169A7" w14:textId="77777777" w:rsidR="005E282E" w:rsidRPr="00287DC2" w:rsidRDefault="00E55595" w:rsidP="00E5559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87DC2">
        <w:rPr>
          <w:rFonts w:ascii="Arial" w:hAnsi="Arial" w:cs="Arial"/>
          <w:color w:val="010000"/>
          <w:sz w:val="20"/>
        </w:rPr>
        <w:t>Plan on profit distribution in 2023: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2"/>
        <w:gridCol w:w="5749"/>
        <w:gridCol w:w="1246"/>
        <w:gridCol w:w="1380"/>
      </w:tblGrid>
      <w:tr w:rsidR="005E282E" w:rsidRPr="00287DC2" w14:paraId="208D6D18" w14:textId="77777777" w:rsidTr="00E555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F055B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D5E28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20629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346BD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Profit distribution</w:t>
            </w:r>
          </w:p>
        </w:tc>
      </w:tr>
      <w:tr w:rsidR="005E282E" w:rsidRPr="00287DC2" w14:paraId="0D1E0618" w14:textId="77777777" w:rsidTr="00E555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9F008A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4B1A2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Accumulated profit after tax transferred from previous year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F654D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DFF76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26,669.03</w:t>
            </w:r>
          </w:p>
        </w:tc>
      </w:tr>
      <w:tr w:rsidR="005E282E" w:rsidRPr="00287DC2" w14:paraId="5BE22489" w14:textId="77777777" w:rsidTr="00E555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C9159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0D9E0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Profit after tax in 2023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33859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57D3B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55,184.44</w:t>
            </w:r>
          </w:p>
        </w:tc>
      </w:tr>
      <w:tr w:rsidR="005E282E" w:rsidRPr="00287DC2" w14:paraId="59477DFE" w14:textId="77777777" w:rsidTr="00E555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A08F63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986DB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Appropriation for funds from 10% of profit after tax in 2023 {(3)=(2)*10%)}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75ABE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12D67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5,518.44</w:t>
            </w:r>
          </w:p>
        </w:tc>
      </w:tr>
      <w:tr w:rsidR="005E282E" w:rsidRPr="00287DC2" w14:paraId="495B2563" w14:textId="77777777" w:rsidTr="00E555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94E3E" w14:textId="77777777" w:rsidR="005E282E" w:rsidRPr="00287DC2" w:rsidRDefault="005E282E" w:rsidP="00E555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B799D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In which: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554C1" w14:textId="77777777" w:rsidR="005E282E" w:rsidRPr="00287DC2" w:rsidRDefault="005E282E" w:rsidP="00E555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125FC" w14:textId="77777777" w:rsidR="005E282E" w:rsidRPr="00287DC2" w:rsidRDefault="005E282E" w:rsidP="00E555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E282E" w:rsidRPr="00287DC2" w14:paraId="622536EF" w14:textId="77777777" w:rsidTr="00E555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635EF" w14:textId="77777777" w:rsidR="005E282E" w:rsidRPr="00287DC2" w:rsidRDefault="005E282E" w:rsidP="00E555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FEC0B" w14:textId="77777777" w:rsidR="005E282E" w:rsidRPr="00287DC2" w:rsidRDefault="00E55595" w:rsidP="00287DC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Bonus and welfare fund (5% of profit after tax)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F09C8" w14:textId="77777777" w:rsidR="005E282E" w:rsidRPr="00287DC2" w:rsidRDefault="00E55595" w:rsidP="00287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728CD" w14:textId="77777777" w:rsidR="005E282E" w:rsidRPr="00287DC2" w:rsidRDefault="00E55595" w:rsidP="00287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2,759.22</w:t>
            </w:r>
          </w:p>
        </w:tc>
      </w:tr>
      <w:tr w:rsidR="005E282E" w:rsidRPr="00287DC2" w14:paraId="33FFE754" w14:textId="77777777" w:rsidTr="00E555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94F55" w14:textId="77777777" w:rsidR="005E282E" w:rsidRPr="00287DC2" w:rsidRDefault="005E282E" w:rsidP="00287DC2">
            <w:pPr>
              <w:tabs>
                <w:tab w:val="left" w:pos="360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547EC" w14:textId="77777777" w:rsidR="005E282E" w:rsidRPr="00287DC2" w:rsidRDefault="00E55595" w:rsidP="00287DC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Development and investment fund (5% of profit after tax)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44EC9F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658F8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2,759.22</w:t>
            </w:r>
          </w:p>
        </w:tc>
      </w:tr>
      <w:tr w:rsidR="005E282E" w:rsidRPr="00287DC2" w14:paraId="0080A9C8" w14:textId="77777777" w:rsidTr="00E555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5A550F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7E0E98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Remaining profit after tax {(4)=(1)+(2)-(3)}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2B7A9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C8B16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76,335.03</w:t>
            </w:r>
          </w:p>
        </w:tc>
      </w:tr>
      <w:tr w:rsidR="005E282E" w:rsidRPr="00287DC2" w14:paraId="7DB9834A" w14:textId="77777777" w:rsidTr="00E555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E0883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985E6" w14:textId="3F018C59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 xml:space="preserve">Bonus for exceeding the profit after tax </w:t>
            </w:r>
            <w:r w:rsidR="00287DC2" w:rsidRPr="00287DC2">
              <w:rPr>
                <w:rFonts w:ascii="Arial" w:hAnsi="Arial" w:cs="Arial"/>
                <w:color w:val="010000"/>
                <w:sz w:val="20"/>
              </w:rPr>
              <w:t xml:space="preserve">2023 </w:t>
            </w:r>
            <w:r w:rsidRPr="00287DC2">
              <w:rPr>
                <w:rFonts w:ascii="Arial" w:hAnsi="Arial" w:cs="Arial"/>
                <w:color w:val="010000"/>
                <w:sz w:val="20"/>
              </w:rPr>
              <w:t>target for the Board of Directors, the Supervisory Board, and the Company's Executive Board (10% * Excess of profit</w:t>
            </w:r>
            <w:r w:rsidR="00287DC2" w:rsidRPr="00287DC2">
              <w:rPr>
                <w:rFonts w:ascii="Arial" w:hAnsi="Arial" w:cs="Arial"/>
                <w:color w:val="010000"/>
                <w:sz w:val="20"/>
              </w:rPr>
              <w:t xml:space="preserve"> after tax</w:t>
            </w:r>
            <w:r w:rsidRPr="00287DC2">
              <w:rPr>
                <w:rFonts w:ascii="Arial" w:hAnsi="Arial" w:cs="Arial"/>
                <w:color w:val="010000"/>
                <w:sz w:val="20"/>
              </w:rPr>
              <w:t xml:space="preserve"> over the plan) as per the Annual General Mandate 2023.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2949C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BE628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2,120.58</w:t>
            </w:r>
          </w:p>
        </w:tc>
      </w:tr>
      <w:tr w:rsidR="005E282E" w:rsidRPr="00287DC2" w14:paraId="50DD8869" w14:textId="77777777" w:rsidTr="00E555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EEAA57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3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99A34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Dividend rate (% of par value)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DAB7C" w14:textId="77777777" w:rsidR="005E282E" w:rsidRPr="00287DC2" w:rsidRDefault="005E282E" w:rsidP="00E555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5891C9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45%</w:t>
            </w:r>
          </w:p>
        </w:tc>
      </w:tr>
      <w:tr w:rsidR="005E282E" w:rsidRPr="00287DC2" w14:paraId="72E75B71" w14:textId="77777777" w:rsidTr="00E555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70D6B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3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AA394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The dividend payment for 2023 in cash.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23937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99B4A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48,609.24</w:t>
            </w:r>
          </w:p>
        </w:tc>
      </w:tr>
      <w:tr w:rsidR="005E282E" w:rsidRPr="00287DC2" w14:paraId="06B5AA3C" w14:textId="77777777" w:rsidTr="00E55595"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ABFE1B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3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0159E" w14:textId="7B537D88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Remaining profit after tax {(8)=(4)-(5)-(7)}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8A3700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6CC45B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25,605.21</w:t>
            </w:r>
          </w:p>
        </w:tc>
      </w:tr>
    </w:tbl>
    <w:p w14:paraId="025064BE" w14:textId="77777777" w:rsidR="005E282E" w:rsidRPr="00287DC2" w:rsidRDefault="00E55595" w:rsidP="00E555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87DC2">
        <w:rPr>
          <w:rFonts w:ascii="Arial" w:hAnsi="Arial" w:cs="Arial"/>
          <w:color w:val="010000"/>
          <w:sz w:val="20"/>
        </w:rPr>
        <w:t>Assign the Company's Board of Directors to determine an appropriate time to make dividend payments to shareholders.</w:t>
      </w:r>
    </w:p>
    <w:p w14:paraId="61356F30" w14:textId="77777777" w:rsidR="005E282E" w:rsidRPr="00287DC2" w:rsidRDefault="00E55595" w:rsidP="00E555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87DC2">
        <w:rPr>
          <w:rFonts w:ascii="Arial" w:hAnsi="Arial" w:cs="Arial"/>
          <w:color w:val="010000"/>
          <w:sz w:val="20"/>
        </w:rPr>
        <w:t>The Production and business plan, the profit distribution plan for 2024, and the presentation at the Annual General Meeting of Shareholders 2024 include:</w:t>
      </w:r>
    </w:p>
    <w:p w14:paraId="59F77E0C" w14:textId="77777777" w:rsidR="005E282E" w:rsidRPr="00287DC2" w:rsidRDefault="00E55595" w:rsidP="00E55595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87DC2">
        <w:rPr>
          <w:rFonts w:ascii="Arial" w:hAnsi="Arial" w:cs="Arial"/>
          <w:color w:val="010000"/>
          <w:sz w:val="20"/>
        </w:rPr>
        <w:t>The production and business plan for 2024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5"/>
        <w:gridCol w:w="5107"/>
        <w:gridCol w:w="1284"/>
        <w:gridCol w:w="1861"/>
      </w:tblGrid>
      <w:tr w:rsidR="005E282E" w:rsidRPr="00287DC2" w14:paraId="48205738" w14:textId="77777777" w:rsidTr="00E55595"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B7BA3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2D78E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045D65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FBA72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2024 Plan</w:t>
            </w:r>
          </w:p>
        </w:tc>
      </w:tr>
      <w:tr w:rsidR="005E282E" w:rsidRPr="00287DC2" w14:paraId="3574D2BF" w14:textId="77777777" w:rsidTr="00E55595"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ED4D7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7F940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1C81D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705C2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90,900.99</w:t>
            </w:r>
          </w:p>
        </w:tc>
      </w:tr>
      <w:tr w:rsidR="005E282E" w:rsidRPr="00287DC2" w14:paraId="3C644B9B" w14:textId="77777777" w:rsidTr="00E55595"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5B92F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5E2B13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Expenses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73A11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6B6091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51,407.14</w:t>
            </w:r>
          </w:p>
        </w:tc>
      </w:tr>
      <w:tr w:rsidR="005E282E" w:rsidRPr="00287DC2" w14:paraId="45D07A2F" w14:textId="77777777" w:rsidTr="00E55595"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5443C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7A437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3938B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012DC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39,493.85</w:t>
            </w:r>
          </w:p>
        </w:tc>
      </w:tr>
      <w:tr w:rsidR="005E282E" w:rsidRPr="00287DC2" w14:paraId="365C389F" w14:textId="77777777" w:rsidTr="00E55595"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C2501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47F97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F90BB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03DB6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2,004.69</w:t>
            </w:r>
          </w:p>
        </w:tc>
      </w:tr>
      <w:tr w:rsidR="005E282E" w:rsidRPr="00287DC2" w14:paraId="1AD631F6" w14:textId="77777777" w:rsidTr="00E55595">
        <w:tc>
          <w:tcPr>
            <w:tcW w:w="4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50CDF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8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B8A12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CC42F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F0B6E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37,489.16</w:t>
            </w:r>
          </w:p>
        </w:tc>
      </w:tr>
    </w:tbl>
    <w:p w14:paraId="1CC523AD" w14:textId="77777777" w:rsidR="005E282E" w:rsidRPr="00287DC2" w:rsidRDefault="00E55595" w:rsidP="00E55595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287DC2">
        <w:rPr>
          <w:rFonts w:ascii="Arial" w:hAnsi="Arial" w:cs="Arial"/>
          <w:color w:val="010000"/>
          <w:sz w:val="20"/>
        </w:rPr>
        <w:t>The profit distribution plan for 2024.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7"/>
        <w:gridCol w:w="5753"/>
        <w:gridCol w:w="1246"/>
        <w:gridCol w:w="1381"/>
      </w:tblGrid>
      <w:tr w:rsidR="005E282E" w:rsidRPr="00287DC2" w14:paraId="15BA2BDA" w14:textId="77777777" w:rsidTr="00E55595"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65D51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6D27A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57B4B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7D884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Profit distribution</w:t>
            </w:r>
          </w:p>
        </w:tc>
      </w:tr>
      <w:tr w:rsidR="005E282E" w:rsidRPr="00287DC2" w14:paraId="60D5E664" w14:textId="77777777" w:rsidTr="00E55595"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311341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C5BE9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Accumulated profit after tax transferred from previous year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ED56F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ECA5C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25,605.21</w:t>
            </w:r>
          </w:p>
        </w:tc>
      </w:tr>
      <w:tr w:rsidR="005E282E" w:rsidRPr="00287DC2" w14:paraId="41525A94" w14:textId="77777777" w:rsidTr="00E55595"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4624C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BBA87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Profit after tax in 2024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F9A5F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1F35F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37,489.16</w:t>
            </w:r>
          </w:p>
        </w:tc>
      </w:tr>
      <w:tr w:rsidR="005E282E" w:rsidRPr="00287DC2" w14:paraId="298ECDCA" w14:textId="77777777" w:rsidTr="00E55595"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9BC28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63FC95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Appropriation of funds from 10% of profit after tax in 2024 {(3)=(2)*10%}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DC6DC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29A85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3,748.92</w:t>
            </w:r>
          </w:p>
        </w:tc>
      </w:tr>
      <w:tr w:rsidR="005E282E" w:rsidRPr="00287DC2" w14:paraId="75ACFCE4" w14:textId="77777777" w:rsidTr="00E55595"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798065" w14:textId="77777777" w:rsidR="005E282E" w:rsidRPr="00287DC2" w:rsidRDefault="005E282E" w:rsidP="00E555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F7D81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In which: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E9D66" w14:textId="77777777" w:rsidR="005E282E" w:rsidRPr="00287DC2" w:rsidRDefault="005E282E" w:rsidP="00E555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91C3B" w14:textId="77777777" w:rsidR="005E282E" w:rsidRPr="00287DC2" w:rsidRDefault="005E282E" w:rsidP="00E555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E282E" w:rsidRPr="00287DC2" w14:paraId="450A8154" w14:textId="77777777" w:rsidTr="00E55595"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EA188" w14:textId="77777777" w:rsidR="005E282E" w:rsidRPr="00287DC2" w:rsidRDefault="005E282E" w:rsidP="00E555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784B3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Bonus and welfare fund (5% of profit after tax)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A7389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F2491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1,874.46</w:t>
            </w:r>
          </w:p>
        </w:tc>
      </w:tr>
      <w:tr w:rsidR="005E282E" w:rsidRPr="00287DC2" w14:paraId="40CB1703" w14:textId="77777777" w:rsidTr="00E55595"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04543" w14:textId="77777777" w:rsidR="005E282E" w:rsidRPr="00287DC2" w:rsidRDefault="005E282E" w:rsidP="00E555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DFBB2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Development and investment fund (5% of profit after tax)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EDCC21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D008D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1,874.46</w:t>
            </w:r>
          </w:p>
        </w:tc>
      </w:tr>
      <w:tr w:rsidR="005E282E" w:rsidRPr="00287DC2" w14:paraId="1B859EEC" w14:textId="77777777" w:rsidTr="00E55595"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E963F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6C5A7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Remaining profit after tax {(4)=(1)+(2)-(3)}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A97E8C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88365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59,345.45</w:t>
            </w:r>
          </w:p>
        </w:tc>
      </w:tr>
      <w:tr w:rsidR="005E282E" w:rsidRPr="00287DC2" w14:paraId="29CB8D95" w14:textId="77777777" w:rsidTr="00E55595"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E866B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7AA09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Dividend rate (% of par value)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2FC27" w14:textId="77777777" w:rsidR="005E282E" w:rsidRPr="00287DC2" w:rsidRDefault="005E282E" w:rsidP="00E555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038B0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30%</w:t>
            </w:r>
          </w:p>
        </w:tc>
      </w:tr>
      <w:tr w:rsidR="005E282E" w:rsidRPr="00287DC2" w14:paraId="557E17A2" w14:textId="77777777" w:rsidTr="00E55595"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35836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BC33D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The dividend payment for 2024 in cash.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E0121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5E5209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32,406.16</w:t>
            </w:r>
          </w:p>
        </w:tc>
      </w:tr>
      <w:tr w:rsidR="005E282E" w:rsidRPr="00287DC2" w14:paraId="51F1342D" w14:textId="77777777" w:rsidTr="00E55595">
        <w:tc>
          <w:tcPr>
            <w:tcW w:w="3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D7F23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3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E34106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Remaining profit after tax {(7)=(4)-(6)}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25ED1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C5763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26,939.29</w:t>
            </w:r>
          </w:p>
        </w:tc>
      </w:tr>
    </w:tbl>
    <w:p w14:paraId="2D6B7991" w14:textId="08F6B1E0" w:rsidR="005E282E" w:rsidRPr="00287DC2" w:rsidRDefault="00E55595" w:rsidP="000022D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7DC2">
        <w:rPr>
          <w:rFonts w:ascii="Arial" w:hAnsi="Arial" w:cs="Arial"/>
          <w:color w:val="010000"/>
          <w:sz w:val="20"/>
        </w:rPr>
        <w:t xml:space="preserve">In case of the 2024 profit after tax exceeds the plan, agree to allocate bonuses to the Board of Directors, the Supervisory Board, and the Company's Executive Board, with a maximum bonus of 10% of the excess profit </w:t>
      </w:r>
      <w:r w:rsidR="00287DC2" w:rsidRPr="00287DC2">
        <w:rPr>
          <w:rFonts w:ascii="Arial" w:hAnsi="Arial" w:cs="Arial"/>
          <w:color w:val="010000"/>
          <w:sz w:val="20"/>
        </w:rPr>
        <w:t xml:space="preserve">after tax </w:t>
      </w:r>
      <w:r w:rsidRPr="00287DC2">
        <w:rPr>
          <w:rFonts w:ascii="Arial" w:hAnsi="Arial" w:cs="Arial"/>
          <w:color w:val="010000"/>
          <w:sz w:val="20"/>
        </w:rPr>
        <w:t>over the plan.</w:t>
      </w:r>
    </w:p>
    <w:p w14:paraId="0F2373A4" w14:textId="77777777" w:rsidR="005E282E" w:rsidRPr="00287DC2" w:rsidRDefault="00E55595" w:rsidP="000022D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7DC2">
        <w:rPr>
          <w:rFonts w:ascii="Arial" w:hAnsi="Arial" w:cs="Arial"/>
          <w:color w:val="010000"/>
          <w:sz w:val="20"/>
        </w:rPr>
        <w:t xml:space="preserve">Assign the Company's Board of Directors to determine an appropriate time to make dividend </w:t>
      </w:r>
      <w:r w:rsidRPr="00287DC2">
        <w:rPr>
          <w:rFonts w:ascii="Arial" w:hAnsi="Arial" w:cs="Arial"/>
          <w:color w:val="010000"/>
          <w:sz w:val="20"/>
        </w:rPr>
        <w:lastRenderedPageBreak/>
        <w:t>prepayments to shareholders.</w:t>
      </w:r>
    </w:p>
    <w:p w14:paraId="5E180463" w14:textId="5F1227DD" w:rsidR="005E282E" w:rsidRPr="00287DC2" w:rsidRDefault="00E55595" w:rsidP="000022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7DC2">
        <w:rPr>
          <w:rFonts w:ascii="Arial" w:hAnsi="Arial" w:cs="Arial"/>
          <w:color w:val="010000"/>
          <w:sz w:val="20"/>
        </w:rPr>
        <w:t xml:space="preserve">The </w:t>
      </w:r>
      <w:r w:rsidR="00287DC2" w:rsidRPr="00287DC2">
        <w:rPr>
          <w:rFonts w:ascii="Arial" w:hAnsi="Arial" w:cs="Arial"/>
          <w:color w:val="010000"/>
          <w:sz w:val="20"/>
        </w:rPr>
        <w:t>executive</w:t>
      </w:r>
      <w:r w:rsidRPr="00287DC2">
        <w:rPr>
          <w:rFonts w:ascii="Arial" w:hAnsi="Arial" w:cs="Arial"/>
          <w:color w:val="010000"/>
          <w:sz w:val="20"/>
        </w:rPr>
        <w:t xml:space="preserve"> salary/remuneration level for the Board of Directors and the Supervisory Board in 2024, and </w:t>
      </w:r>
      <w:r w:rsidR="00287DC2" w:rsidRPr="00287DC2">
        <w:rPr>
          <w:rFonts w:ascii="Arial" w:hAnsi="Arial" w:cs="Arial"/>
          <w:color w:val="010000"/>
          <w:sz w:val="20"/>
        </w:rPr>
        <w:t>submitted</w:t>
      </w:r>
      <w:r w:rsidRPr="00287DC2">
        <w:rPr>
          <w:rFonts w:ascii="Arial" w:hAnsi="Arial" w:cs="Arial"/>
          <w:color w:val="010000"/>
          <w:sz w:val="20"/>
        </w:rPr>
        <w:t xml:space="preserve"> at the Annual General Meeting of Shareholders 2024 include: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25"/>
        <w:gridCol w:w="900"/>
        <w:gridCol w:w="2249"/>
        <w:gridCol w:w="2543"/>
      </w:tblGrid>
      <w:tr w:rsidR="005E282E" w:rsidRPr="00287DC2" w14:paraId="43EF8909" w14:textId="77777777" w:rsidTr="00E55595">
        <w:tc>
          <w:tcPr>
            <w:tcW w:w="1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D3171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E8FF9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607B8" w14:textId="0D01AEA9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287DC2" w:rsidRPr="00287DC2">
              <w:rPr>
                <w:rFonts w:ascii="Arial" w:hAnsi="Arial" w:cs="Arial"/>
                <w:color w:val="010000"/>
                <w:sz w:val="20"/>
              </w:rPr>
              <w:t xml:space="preserve">executive </w:t>
            </w:r>
            <w:r w:rsidRPr="00287DC2">
              <w:rPr>
                <w:rFonts w:ascii="Arial" w:hAnsi="Arial" w:cs="Arial"/>
                <w:color w:val="010000"/>
                <w:sz w:val="20"/>
              </w:rPr>
              <w:t>salary/remuneration level (VND per person per month)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2E386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5E282E" w:rsidRPr="00287DC2" w14:paraId="634E3E87" w14:textId="77777777" w:rsidTr="00E55595">
        <w:tc>
          <w:tcPr>
            <w:tcW w:w="1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8F3B0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I - The Board of Directors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98379" w14:textId="77777777" w:rsidR="005E282E" w:rsidRPr="00287DC2" w:rsidRDefault="005E282E" w:rsidP="00E555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59F4F" w14:textId="77777777" w:rsidR="005E282E" w:rsidRPr="00287DC2" w:rsidRDefault="005E282E" w:rsidP="00E555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8D7856" w14:textId="77777777" w:rsidR="005E282E" w:rsidRPr="00287DC2" w:rsidRDefault="005E282E" w:rsidP="00E555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E282E" w:rsidRPr="00287DC2" w14:paraId="5C657A9B" w14:textId="77777777" w:rsidTr="00E55595">
        <w:tc>
          <w:tcPr>
            <w:tcW w:w="1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19F3A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65A45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1FFFB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35,000,000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5FDC7" w14:textId="5EF87F90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287DC2" w:rsidRPr="00287DC2">
              <w:rPr>
                <w:rFonts w:ascii="Arial" w:hAnsi="Arial" w:cs="Arial"/>
                <w:color w:val="010000"/>
                <w:sz w:val="20"/>
              </w:rPr>
              <w:t xml:space="preserve">executive </w:t>
            </w:r>
            <w:r w:rsidRPr="00287DC2">
              <w:rPr>
                <w:rFonts w:ascii="Arial" w:hAnsi="Arial" w:cs="Arial"/>
                <w:color w:val="010000"/>
                <w:sz w:val="20"/>
              </w:rPr>
              <w:t>salary (Legal representative of the Company)</w:t>
            </w:r>
          </w:p>
        </w:tc>
      </w:tr>
      <w:tr w:rsidR="005E282E" w:rsidRPr="00287DC2" w14:paraId="629F78AD" w14:textId="77777777" w:rsidTr="00E55595">
        <w:tc>
          <w:tcPr>
            <w:tcW w:w="1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D78CE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05146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ACD7B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9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 xml:space="preserve"> 10,000,000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9ECD5" w14:textId="77777777" w:rsidR="005E282E" w:rsidRPr="00287DC2" w:rsidRDefault="005E282E" w:rsidP="00E555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E282E" w:rsidRPr="00287DC2" w14:paraId="1C77AA42" w14:textId="77777777" w:rsidTr="00E55595">
        <w:tc>
          <w:tcPr>
            <w:tcW w:w="1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561C3" w14:textId="24474298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Member of the Board of Directors - Chief of Internal Audit Committee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4324E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ACA95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14,000,000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A6D80" w14:textId="77777777" w:rsidR="005E282E" w:rsidRPr="00287DC2" w:rsidRDefault="005E282E" w:rsidP="00E555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E282E" w:rsidRPr="00287DC2" w14:paraId="7A435090" w14:textId="77777777" w:rsidTr="00E55595">
        <w:tc>
          <w:tcPr>
            <w:tcW w:w="1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B68E3" w14:textId="14964CE8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 xml:space="preserve">Member of the Board of Directors - Members of </w:t>
            </w:r>
            <w:r w:rsidR="00287DC2" w:rsidRPr="00287DC2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287DC2">
              <w:rPr>
                <w:rFonts w:ascii="Arial" w:hAnsi="Arial" w:cs="Arial"/>
                <w:color w:val="010000"/>
                <w:sz w:val="20"/>
              </w:rPr>
              <w:t>Internal Audit Committee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3AE2C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DA26D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12,000,000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D24A4" w14:textId="77777777" w:rsidR="005E282E" w:rsidRPr="00287DC2" w:rsidRDefault="005E282E" w:rsidP="00E555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E282E" w:rsidRPr="00287DC2" w14:paraId="64CB5235" w14:textId="77777777" w:rsidTr="00E55595">
        <w:tc>
          <w:tcPr>
            <w:tcW w:w="1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68BDE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II - The Supervisory Board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07852" w14:textId="77777777" w:rsidR="005E282E" w:rsidRPr="00287DC2" w:rsidRDefault="005E282E" w:rsidP="00E555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4D63A" w14:textId="77777777" w:rsidR="005E282E" w:rsidRPr="00287DC2" w:rsidRDefault="005E282E" w:rsidP="00E555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B5367" w14:textId="77777777" w:rsidR="005E282E" w:rsidRPr="00287DC2" w:rsidRDefault="005E282E" w:rsidP="00E555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E282E" w:rsidRPr="00287DC2" w14:paraId="340F936D" w14:textId="77777777" w:rsidTr="00E55595">
        <w:tc>
          <w:tcPr>
            <w:tcW w:w="1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DB982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29AEC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E42C0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15,000,000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392B1" w14:textId="5F4DC2B8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(</w:t>
            </w:r>
            <w:r w:rsidR="00287DC2" w:rsidRPr="00287DC2">
              <w:rPr>
                <w:rFonts w:ascii="Arial" w:hAnsi="Arial" w:cs="Arial"/>
                <w:color w:val="010000"/>
                <w:sz w:val="20"/>
              </w:rPr>
              <w:t xml:space="preserve">executive </w:t>
            </w:r>
            <w:r w:rsidRPr="00287DC2">
              <w:rPr>
                <w:rFonts w:ascii="Arial" w:hAnsi="Arial" w:cs="Arial"/>
                <w:color w:val="010000"/>
                <w:sz w:val="20"/>
              </w:rPr>
              <w:t>salary)</w:t>
            </w:r>
          </w:p>
        </w:tc>
      </w:tr>
      <w:tr w:rsidR="005E282E" w:rsidRPr="00287DC2" w14:paraId="0B675886" w14:textId="77777777" w:rsidTr="00E55595">
        <w:tc>
          <w:tcPr>
            <w:tcW w:w="18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9791A4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B20A3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2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FE1D0" w14:textId="77777777" w:rsidR="005E282E" w:rsidRPr="00287DC2" w:rsidRDefault="00E55595" w:rsidP="00E5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87DC2">
              <w:rPr>
                <w:rFonts w:ascii="Arial" w:hAnsi="Arial" w:cs="Arial"/>
                <w:color w:val="010000"/>
                <w:sz w:val="20"/>
              </w:rPr>
              <w:t>5,000,000</w:t>
            </w:r>
          </w:p>
        </w:tc>
        <w:tc>
          <w:tcPr>
            <w:tcW w:w="14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E69ECF" w14:textId="77777777" w:rsidR="005E282E" w:rsidRPr="00287DC2" w:rsidRDefault="005E282E" w:rsidP="00E55595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BDBAF4C" w14:textId="4DA7927A" w:rsidR="005E282E" w:rsidRPr="00287DC2" w:rsidRDefault="00E55595" w:rsidP="000022D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7DC2">
        <w:rPr>
          <w:rFonts w:ascii="Arial" w:hAnsi="Arial" w:cs="Arial"/>
          <w:color w:val="010000"/>
          <w:sz w:val="20"/>
        </w:rPr>
        <w:t>Article 2: The Chair of the Board of Directors directs</w:t>
      </w:r>
      <w:r w:rsidR="00287DC2" w:rsidRPr="00287DC2">
        <w:rPr>
          <w:rFonts w:ascii="Arial" w:hAnsi="Arial" w:cs="Arial"/>
          <w:color w:val="010000"/>
          <w:sz w:val="20"/>
        </w:rPr>
        <w:t xml:space="preserve"> and</w:t>
      </w:r>
      <w:r w:rsidRPr="00287DC2">
        <w:rPr>
          <w:rFonts w:ascii="Arial" w:hAnsi="Arial" w:cs="Arial"/>
          <w:color w:val="010000"/>
          <w:sz w:val="20"/>
        </w:rPr>
        <w:t xml:space="preserve"> the Company’s Board of Managers organize</w:t>
      </w:r>
      <w:r w:rsidR="00287DC2" w:rsidRPr="00287DC2">
        <w:rPr>
          <w:rFonts w:ascii="Arial" w:hAnsi="Arial" w:cs="Arial"/>
          <w:color w:val="010000"/>
          <w:sz w:val="20"/>
        </w:rPr>
        <w:t>s</w:t>
      </w:r>
      <w:r w:rsidRPr="00287DC2">
        <w:rPr>
          <w:rFonts w:ascii="Arial" w:hAnsi="Arial" w:cs="Arial"/>
          <w:color w:val="010000"/>
          <w:sz w:val="20"/>
        </w:rPr>
        <w:t xml:space="preserve"> the implementation of the above contents in compliance with </w:t>
      </w:r>
      <w:bookmarkStart w:id="0" w:name="_GoBack"/>
      <w:r w:rsidRPr="00287DC2">
        <w:rPr>
          <w:rFonts w:ascii="Arial" w:hAnsi="Arial" w:cs="Arial"/>
          <w:color w:val="010000"/>
          <w:sz w:val="20"/>
        </w:rPr>
        <w:t>legal regulations.</w:t>
      </w:r>
    </w:p>
    <w:p w14:paraId="75E0D983" w14:textId="77777777" w:rsidR="005E282E" w:rsidRPr="00287DC2" w:rsidRDefault="00E55595" w:rsidP="000022D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7DC2">
        <w:rPr>
          <w:rFonts w:ascii="Arial" w:hAnsi="Arial" w:cs="Arial"/>
          <w:color w:val="010000"/>
          <w:sz w:val="20"/>
        </w:rPr>
        <w:t>This Resolution takes effect from the date of its signing./.</w:t>
      </w:r>
      <w:bookmarkEnd w:id="0"/>
    </w:p>
    <w:sectPr w:rsidR="005E282E" w:rsidRPr="00287DC2" w:rsidSect="00E5559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65CD4"/>
    <w:multiLevelType w:val="hybridMultilevel"/>
    <w:tmpl w:val="FB626A80"/>
    <w:lvl w:ilvl="0" w:tplc="722A3A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F7EB7"/>
    <w:multiLevelType w:val="multilevel"/>
    <w:tmpl w:val="111E2A9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D0C6DA7"/>
    <w:multiLevelType w:val="multilevel"/>
    <w:tmpl w:val="2D12537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5D0F0A"/>
    <w:multiLevelType w:val="multilevel"/>
    <w:tmpl w:val="2F227E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C9C6BA8"/>
    <w:multiLevelType w:val="multilevel"/>
    <w:tmpl w:val="5CD85AA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2E"/>
    <w:rsid w:val="000022DE"/>
    <w:rsid w:val="00287DC2"/>
    <w:rsid w:val="005E282E"/>
    <w:rsid w:val="008F6278"/>
    <w:rsid w:val="00E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22B03"/>
  <w15:docId w15:val="{2677B8EC-A4C1-4F5D-A6AC-D932F463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16" w:lineRule="auto"/>
    </w:pPr>
    <w:rPr>
      <w:rFonts w:ascii="Arial" w:eastAsia="Arial" w:hAnsi="Arial" w:cs="Arial"/>
      <w:sz w:val="8"/>
      <w:szCs w:val="8"/>
    </w:rPr>
  </w:style>
  <w:style w:type="paragraph" w:customStyle="1" w:styleId="Tablecaption0">
    <w:name w:val="Table caption"/>
    <w:basedOn w:val="Normal"/>
    <w:link w:val="Tablecaption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ing21">
    <w:name w:val="Heading #2"/>
    <w:basedOn w:val="Normal"/>
    <w:link w:val="Heading20"/>
    <w:pPr>
      <w:ind w:firstLine="710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1">
    <w:name w:val="Heading #3"/>
    <w:basedOn w:val="Normal"/>
    <w:link w:val="Heading30"/>
    <w:pPr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28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S4nJk6gijATMN1Bt1khfmUnXaA==">CgMxLjA4AHIhMXpNaGpRVENmQnBtVTdvSFk4SmdOMi1uQll3RTJmYUx0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2024-03-26T03:53:00Z</dcterms:created>
  <dcterms:modified xsi:type="dcterms:W3CDTF">2024-03-27T04:52:00Z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cb38cc3b4091db7503f6ee05a703c062f7de10e79c42a33819728057d51797fd</vt:lpwstr>
  </property>
</Properties>
</file>