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92860" w:rsidRPr="002E1776" w:rsidRDefault="00BF5472" w:rsidP="00AB1C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E1776">
        <w:rPr>
          <w:rFonts w:ascii="Arial" w:hAnsi="Arial" w:cs="Arial"/>
          <w:b/>
          <w:color w:val="010000"/>
          <w:sz w:val="20"/>
        </w:rPr>
        <w:t>PGS: Board Resolution</w:t>
      </w:r>
      <w:bookmarkStart w:id="0" w:name="_GoBack"/>
      <w:bookmarkEnd w:id="0"/>
    </w:p>
    <w:p w14:paraId="00000002" w14:textId="77777777" w:rsidR="00792860" w:rsidRPr="002E1776" w:rsidRDefault="00BF5472" w:rsidP="00AB1C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>On March 25, 2024, Southern Gas Trading Joint Stock Company announced Resolution No. 03/NQ-KMN approving the credit limit for production, business and investment activities in 2024 as follows:</w:t>
      </w:r>
    </w:p>
    <w:p w14:paraId="00000003" w14:textId="77777777" w:rsidR="00792860" w:rsidRPr="002E1776" w:rsidRDefault="00BF5472" w:rsidP="00AB1C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>‎‎Article 1. Approve credit limit for production, business and investment activities in 2024 of the Company with the following details:</w:t>
      </w:r>
    </w:p>
    <w:p w14:paraId="00000004" w14:textId="7027DF65" w:rsidR="00792860" w:rsidRPr="002E1776" w:rsidRDefault="00BF5472" w:rsidP="00AB1C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>There is no limit to the credit</w:t>
      </w:r>
      <w:r w:rsidR="002E1776" w:rsidRPr="002E1776">
        <w:rPr>
          <w:rFonts w:ascii="Arial" w:hAnsi="Arial" w:cs="Arial"/>
          <w:color w:val="010000"/>
          <w:sz w:val="20"/>
        </w:rPr>
        <w:t xml:space="preserve"> extension</w:t>
      </w:r>
      <w:r w:rsidRPr="002E1776">
        <w:rPr>
          <w:rFonts w:ascii="Arial" w:hAnsi="Arial" w:cs="Arial"/>
          <w:color w:val="010000"/>
          <w:sz w:val="20"/>
        </w:rPr>
        <w:t xml:space="preserve">, but the total outstanding credit loan (including loan/financial lease balance, guarantee balance, letter of credit issuance balance and outstanding balance of other credit operations) at all credit institutions at any time during the </w:t>
      </w:r>
      <w:r w:rsidR="002E1776" w:rsidRPr="002E1776">
        <w:rPr>
          <w:rFonts w:ascii="Arial" w:hAnsi="Arial" w:cs="Arial"/>
          <w:color w:val="010000"/>
          <w:sz w:val="20"/>
        </w:rPr>
        <w:t xml:space="preserve">time of line of credit shall </w:t>
      </w:r>
      <w:r w:rsidRPr="002E1776">
        <w:rPr>
          <w:rFonts w:ascii="Arial" w:hAnsi="Arial" w:cs="Arial"/>
          <w:color w:val="010000"/>
          <w:sz w:val="20"/>
        </w:rPr>
        <w:t>not exceed: VND 2,300,000,000,000 In which:</w:t>
      </w:r>
    </w:p>
    <w:p w14:paraId="00000005" w14:textId="77777777" w:rsidR="00792860" w:rsidRPr="002E1776" w:rsidRDefault="00BF5472" w:rsidP="00AB1C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>Short-term credit limit for production and business activities</w:t>
      </w:r>
    </w:p>
    <w:p w14:paraId="00000006" w14:textId="77777777" w:rsidR="00792860" w:rsidRPr="002E1776" w:rsidRDefault="00BF5472" w:rsidP="00AB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>The total outstanding balance of short-term credit at all credit institutions at any time during the limit maintenance period shall not exceed: VND 2,160,000,000,000</w:t>
      </w:r>
    </w:p>
    <w:p w14:paraId="00000007" w14:textId="242A7DB1" w:rsidR="00792860" w:rsidRPr="002E1776" w:rsidRDefault="00BF5472" w:rsidP="00AB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>Capital use purposes includ</w:t>
      </w:r>
      <w:r w:rsidR="002E1776" w:rsidRPr="002E1776">
        <w:rPr>
          <w:rFonts w:ascii="Arial" w:hAnsi="Arial" w:cs="Arial"/>
          <w:color w:val="010000"/>
          <w:sz w:val="20"/>
        </w:rPr>
        <w:t>es</w:t>
      </w:r>
      <w:r w:rsidRPr="002E1776">
        <w:rPr>
          <w:rFonts w:ascii="Arial" w:hAnsi="Arial" w:cs="Arial"/>
          <w:color w:val="010000"/>
          <w:sz w:val="20"/>
        </w:rPr>
        <w:t xml:space="preserve"> Borrow capital, issue letters of guarantee, issue letters of credit and other forms of credit financing at all credit institutions.</w:t>
      </w:r>
    </w:p>
    <w:p w14:paraId="00000008" w14:textId="35FC8D27" w:rsidR="00792860" w:rsidRPr="002E1776" w:rsidRDefault="002E1776" w:rsidP="00AB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>P</w:t>
      </w:r>
      <w:r w:rsidR="00BF5472" w:rsidRPr="002E1776">
        <w:rPr>
          <w:rFonts w:ascii="Arial" w:hAnsi="Arial" w:cs="Arial"/>
          <w:color w:val="010000"/>
          <w:sz w:val="20"/>
        </w:rPr>
        <w:t>eriod</w:t>
      </w:r>
      <w:r w:rsidRPr="002E1776">
        <w:rPr>
          <w:rFonts w:ascii="Arial" w:hAnsi="Arial" w:cs="Arial"/>
          <w:color w:val="010000"/>
          <w:sz w:val="20"/>
        </w:rPr>
        <w:t xml:space="preserve"> of maintenance</w:t>
      </w:r>
      <w:r w:rsidR="00BF5472" w:rsidRPr="002E1776">
        <w:rPr>
          <w:rFonts w:ascii="Arial" w:hAnsi="Arial" w:cs="Arial"/>
          <w:color w:val="010000"/>
          <w:sz w:val="20"/>
        </w:rPr>
        <w:t>: To the end of March 31, 2025</w:t>
      </w:r>
    </w:p>
    <w:p w14:paraId="00000009" w14:textId="538A9DBF" w:rsidR="00792860" w:rsidRPr="002E1776" w:rsidRDefault="00BF5472" w:rsidP="00AB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 xml:space="preserve">Guarantee form: </w:t>
      </w:r>
      <w:r w:rsidR="002E1776" w:rsidRPr="002E1776">
        <w:rPr>
          <w:rFonts w:ascii="Arial" w:hAnsi="Arial" w:cs="Arial"/>
          <w:color w:val="010000"/>
          <w:sz w:val="20"/>
        </w:rPr>
        <w:t>unsecured</w:t>
      </w:r>
    </w:p>
    <w:p w14:paraId="0000000A" w14:textId="77777777" w:rsidR="00792860" w:rsidRPr="002E1776" w:rsidRDefault="00BF5472" w:rsidP="00AB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>Credit term: Up to 12 months</w:t>
      </w:r>
    </w:p>
    <w:p w14:paraId="0000000B" w14:textId="77777777" w:rsidR="00792860" w:rsidRPr="002E1776" w:rsidRDefault="00BF5472" w:rsidP="00AB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>Scope of application: This credit line is shared by Southern Gas Trading Joint Stock Company, and other Branches under the Company and VT GAS - Viet Nam Liquefied Gas Company Limited</w:t>
      </w:r>
    </w:p>
    <w:p w14:paraId="0000000C" w14:textId="77777777" w:rsidR="00792860" w:rsidRPr="002E1776" w:rsidRDefault="00BF5472" w:rsidP="00AB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>Credit institutions granting limits: Domestic and foreign credit institutions that operate legally in accordance with the law.</w:t>
      </w:r>
    </w:p>
    <w:p w14:paraId="0000000D" w14:textId="77777777" w:rsidR="00792860" w:rsidRPr="002E1776" w:rsidRDefault="00BF5472" w:rsidP="00AB1C68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>Medium and long-term credit lines for investment activities</w:t>
      </w:r>
    </w:p>
    <w:p w14:paraId="0000000E" w14:textId="4448B152" w:rsidR="00792860" w:rsidRPr="002E1776" w:rsidRDefault="00BF5472" w:rsidP="00AB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 xml:space="preserve">The total outstanding balance of medium and long-term credit at all credit institutions at any time during the limit period </w:t>
      </w:r>
      <w:r w:rsidR="002E1776" w:rsidRPr="002E1776">
        <w:rPr>
          <w:rFonts w:ascii="Arial" w:hAnsi="Arial" w:cs="Arial"/>
          <w:color w:val="010000"/>
          <w:sz w:val="20"/>
        </w:rPr>
        <w:t xml:space="preserve">of maintenance </w:t>
      </w:r>
      <w:r w:rsidRPr="002E1776">
        <w:rPr>
          <w:rFonts w:ascii="Arial" w:hAnsi="Arial" w:cs="Arial"/>
          <w:color w:val="010000"/>
          <w:sz w:val="20"/>
        </w:rPr>
        <w:t>shall not exceed: VND 140,000,000,000;</w:t>
      </w:r>
    </w:p>
    <w:p w14:paraId="0000000F" w14:textId="77777777" w:rsidR="00792860" w:rsidRPr="002E1776" w:rsidRDefault="00BF5472" w:rsidP="00AB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>Capital use purposes, including: Loans/financial leasing and other forms of credit financing at all credit institutions.</w:t>
      </w:r>
    </w:p>
    <w:p w14:paraId="00000010" w14:textId="77777777" w:rsidR="00792860" w:rsidRPr="002E1776" w:rsidRDefault="00BF5472" w:rsidP="00AB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>Guarantee measures: Assets formed from loans/guarantees of third parties/ and/or other assets/security measures in accordance with the law and the Company's Charter;</w:t>
      </w:r>
    </w:p>
    <w:p w14:paraId="00000011" w14:textId="5669DBFA" w:rsidR="00792860" w:rsidRPr="002E1776" w:rsidRDefault="002E1776" w:rsidP="00AB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>P</w:t>
      </w:r>
      <w:r w:rsidR="00BF5472" w:rsidRPr="002E1776">
        <w:rPr>
          <w:rFonts w:ascii="Arial" w:hAnsi="Arial" w:cs="Arial"/>
          <w:color w:val="010000"/>
          <w:sz w:val="20"/>
        </w:rPr>
        <w:t>eriod</w:t>
      </w:r>
      <w:r w:rsidRPr="002E1776">
        <w:rPr>
          <w:rFonts w:ascii="Arial" w:hAnsi="Arial" w:cs="Arial"/>
          <w:color w:val="010000"/>
          <w:sz w:val="20"/>
        </w:rPr>
        <w:t xml:space="preserve"> of maintenance</w:t>
      </w:r>
      <w:r w:rsidR="00BF5472" w:rsidRPr="002E1776">
        <w:rPr>
          <w:rFonts w:ascii="Arial" w:hAnsi="Arial" w:cs="Arial"/>
          <w:color w:val="010000"/>
          <w:sz w:val="20"/>
        </w:rPr>
        <w:t>: Until the end of March 31, 2025;</w:t>
      </w:r>
    </w:p>
    <w:p w14:paraId="00000012" w14:textId="77777777" w:rsidR="00792860" w:rsidRPr="002E1776" w:rsidRDefault="00BF5472" w:rsidP="00AB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>Credit term: 3-5 years</w:t>
      </w:r>
    </w:p>
    <w:p w14:paraId="00000013" w14:textId="77777777" w:rsidR="00792860" w:rsidRPr="002E1776" w:rsidRDefault="00BF5472" w:rsidP="00AB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>Scope of application: This credit line is shared by Southern Gas Trading Joint Stock Company,and branches under the Company and VT GAS - Viet Nam Liquefied Gas Company Limited</w:t>
      </w:r>
    </w:p>
    <w:p w14:paraId="00000014" w14:textId="77777777" w:rsidR="00792860" w:rsidRPr="002E1776" w:rsidRDefault="00BF5472" w:rsidP="00AB1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8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>Credit institutions granting limits: Domestic and foreign credit institutions that operate legally in accordance with the law.</w:t>
      </w:r>
    </w:p>
    <w:p w14:paraId="00000015" w14:textId="6A8123D3" w:rsidR="00792860" w:rsidRPr="002E1776" w:rsidRDefault="00BF5472" w:rsidP="00AB1C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lastRenderedPageBreak/>
        <w:t xml:space="preserve">‎‎Article 2. Assign the General Manager of the Company to direct relevant departments and units to carry out </w:t>
      </w:r>
      <w:r w:rsidR="002E1776" w:rsidRPr="002E1776">
        <w:rPr>
          <w:rFonts w:ascii="Arial" w:hAnsi="Arial" w:cs="Arial"/>
          <w:color w:val="010000"/>
          <w:sz w:val="20"/>
        </w:rPr>
        <w:t>credit-granting</w:t>
      </w:r>
      <w:r w:rsidRPr="002E1776">
        <w:rPr>
          <w:rFonts w:ascii="Arial" w:hAnsi="Arial" w:cs="Arial"/>
          <w:color w:val="010000"/>
          <w:sz w:val="20"/>
        </w:rPr>
        <w:t xml:space="preserve"> procedures in accordance with current regulations. The General Manager of the Company decides to choose a credit institution, credit limit, collateral/finance leased assets, approves the total outstanding credit balance of each unit and the Company's representative (or authorize a third person to represent the Company) to sign credit contracts/financial leasing contracts, guarantee contracts, sales contracts and related documents; At the same time, the General Manager of the Company is responsible for using the credit limit in accordance with current regulations; Periodically update the credit limit usage situation, ensure a safe debt </w:t>
      </w:r>
      <w:r w:rsidR="002E1776" w:rsidRPr="002E1776">
        <w:rPr>
          <w:rFonts w:ascii="Arial" w:hAnsi="Arial" w:cs="Arial"/>
          <w:color w:val="010000"/>
          <w:sz w:val="20"/>
        </w:rPr>
        <w:t>rate</w:t>
      </w:r>
      <w:r w:rsidRPr="002E1776">
        <w:rPr>
          <w:rFonts w:ascii="Arial" w:hAnsi="Arial" w:cs="Arial"/>
          <w:color w:val="010000"/>
          <w:sz w:val="20"/>
        </w:rPr>
        <w:t xml:space="preserve"> and </w:t>
      </w:r>
      <w:r w:rsidR="002E1776" w:rsidRPr="002E1776">
        <w:rPr>
          <w:rFonts w:ascii="Arial" w:hAnsi="Arial" w:cs="Arial"/>
          <w:color w:val="010000"/>
          <w:sz w:val="20"/>
        </w:rPr>
        <w:t>pay attention to</w:t>
      </w:r>
      <w:r w:rsidRPr="002E1776">
        <w:rPr>
          <w:rFonts w:ascii="Arial" w:hAnsi="Arial" w:cs="Arial"/>
          <w:color w:val="010000"/>
          <w:sz w:val="20"/>
        </w:rPr>
        <w:t xml:space="preserve"> the efficiency of investment</w:t>
      </w:r>
      <w:r w:rsidR="002E1776" w:rsidRPr="002E1776">
        <w:rPr>
          <w:rFonts w:ascii="Arial" w:hAnsi="Arial" w:cs="Arial"/>
          <w:color w:val="010000"/>
          <w:sz w:val="20"/>
        </w:rPr>
        <w:t>,</w:t>
      </w:r>
      <w:r w:rsidRPr="002E1776">
        <w:rPr>
          <w:rFonts w:ascii="Arial" w:hAnsi="Arial" w:cs="Arial"/>
          <w:color w:val="010000"/>
          <w:sz w:val="20"/>
        </w:rPr>
        <w:t xml:space="preserve"> manag</w:t>
      </w:r>
      <w:r w:rsidR="002E1776" w:rsidRPr="002E1776">
        <w:rPr>
          <w:rFonts w:ascii="Arial" w:hAnsi="Arial" w:cs="Arial"/>
          <w:color w:val="010000"/>
          <w:sz w:val="20"/>
        </w:rPr>
        <w:t>ement</w:t>
      </w:r>
      <w:r w:rsidRPr="002E1776">
        <w:rPr>
          <w:rFonts w:ascii="Arial" w:hAnsi="Arial" w:cs="Arial"/>
          <w:color w:val="010000"/>
          <w:sz w:val="20"/>
        </w:rPr>
        <w:t xml:space="preserve"> and use capital; Avoid the risk of capital imbalance</w:t>
      </w:r>
      <w:r w:rsidR="002E1776" w:rsidRPr="002E1776">
        <w:rPr>
          <w:rFonts w:ascii="Arial" w:hAnsi="Arial" w:cs="Arial"/>
          <w:color w:val="010000"/>
          <w:sz w:val="20"/>
        </w:rPr>
        <w:t>.</w:t>
      </w:r>
    </w:p>
    <w:p w14:paraId="00000016" w14:textId="77777777" w:rsidR="00792860" w:rsidRPr="002E1776" w:rsidRDefault="00BF5472" w:rsidP="00AB1C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>‎‎Article 3. This Resolution takes effect from the date of its signing.</w:t>
      </w:r>
    </w:p>
    <w:p w14:paraId="00000017" w14:textId="77777777" w:rsidR="00792860" w:rsidRPr="002E1776" w:rsidRDefault="00BF5472" w:rsidP="00AB1C6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E1776">
        <w:rPr>
          <w:rFonts w:ascii="Arial" w:hAnsi="Arial" w:cs="Arial"/>
          <w:color w:val="010000"/>
          <w:sz w:val="20"/>
        </w:rPr>
        <w:t>‎‎Article 4. The General Manager, Heads of functional departments of the Company, affiliated branches and member companies are responsible for the implementation of this Resolution.</w:t>
      </w:r>
    </w:p>
    <w:sectPr w:rsidR="00792860" w:rsidRPr="002E1776" w:rsidSect="00BF547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2FC"/>
    <w:multiLevelType w:val="multilevel"/>
    <w:tmpl w:val="AB1E28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14F5"/>
    <w:multiLevelType w:val="multilevel"/>
    <w:tmpl w:val="77267B0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60"/>
    <w:rsid w:val="002E1776"/>
    <w:rsid w:val="00792860"/>
    <w:rsid w:val="00AB1C68"/>
    <w:rsid w:val="00B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F99EE"/>
  <w15:docId w15:val="{EB98098D-B6BF-4188-957B-97FE53E5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sz w:val="26"/>
      <w:szCs w:val="2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/>
      <w:iCs/>
      <w:smallCaps w:val="0"/>
      <w:strike w:val="0"/>
      <w:color w:val="9F9FA0"/>
      <w:sz w:val="40"/>
      <w:szCs w:val="4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sz w:val="20"/>
      <w:szCs w:val="20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color w:val="292929"/>
      <w:sz w:val="26"/>
      <w:szCs w:val="26"/>
    </w:rPr>
  </w:style>
  <w:style w:type="paragraph" w:customStyle="1" w:styleId="Bodytext60">
    <w:name w:val="Body text (6)"/>
    <w:basedOn w:val="Normal"/>
    <w:link w:val="Bodytext6"/>
    <w:pPr>
      <w:spacing w:line="223" w:lineRule="auto"/>
    </w:pPr>
    <w:rPr>
      <w:rFonts w:ascii="Arial" w:eastAsia="Arial" w:hAnsi="Arial" w:cs="Arial"/>
      <w:b/>
      <w:bCs/>
      <w:i/>
      <w:iCs/>
      <w:color w:val="9F9FA0"/>
      <w:sz w:val="40"/>
      <w:szCs w:val="40"/>
    </w:rPr>
  </w:style>
  <w:style w:type="paragraph" w:customStyle="1" w:styleId="Bodytext50">
    <w:name w:val="Body text (5)"/>
    <w:basedOn w:val="Normal"/>
    <w:link w:val="Bodytext5"/>
    <w:pPr>
      <w:spacing w:line="235" w:lineRule="auto"/>
    </w:pPr>
    <w:rPr>
      <w:rFonts w:ascii="Arial" w:eastAsia="Arial" w:hAnsi="Arial" w:cs="Arial"/>
      <w:sz w:val="20"/>
      <w:szCs w:val="20"/>
    </w:rPr>
  </w:style>
  <w:style w:type="paragraph" w:customStyle="1" w:styleId="Heading21">
    <w:name w:val="Heading #2"/>
    <w:basedOn w:val="Normal"/>
    <w:link w:val="Heading20"/>
    <w:pPr>
      <w:ind w:left="80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ind w:left="1160" w:firstLine="20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57" w:lineRule="auto"/>
      <w:ind w:left="1160" w:firstLine="10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292929"/>
      <w:sz w:val="20"/>
      <w:szCs w:val="20"/>
    </w:rPr>
  </w:style>
  <w:style w:type="paragraph" w:customStyle="1" w:styleId="Bodytext70">
    <w:name w:val="Body text (7)"/>
    <w:basedOn w:val="Normal"/>
    <w:link w:val="Bodytext7"/>
    <w:pPr>
      <w:spacing w:line="180" w:lineRule="auto"/>
    </w:pPr>
    <w:rPr>
      <w:rFonts w:ascii="Arial" w:eastAsia="Arial" w:hAnsi="Arial" w:cs="Arial"/>
      <w:sz w:val="36"/>
      <w:szCs w:val="36"/>
    </w:rPr>
  </w:style>
  <w:style w:type="paragraph" w:customStyle="1" w:styleId="Heading11">
    <w:name w:val="Heading #1"/>
    <w:basedOn w:val="Normal"/>
    <w:link w:val="Heading10"/>
    <w:pPr>
      <w:spacing w:line="233" w:lineRule="auto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bIPBRqCea1OX64fE5RVVKIuJ0w==">CgMxLjA4AHIhMUpiYzIwR19IYk9CcHNXVE5IRnVmYWh4MTdSVm41cERn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2024-03-27T04:41:00Z</dcterms:created>
  <dcterms:modified xsi:type="dcterms:W3CDTF">2024-03-28T04:50:00Z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fe30938325524b38bbc5c09b02bf36fded97b2babf2d79beed5176a8ff7ebe41</vt:lpwstr>
  </property>
</Properties>
</file>