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9D20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7601">
        <w:rPr>
          <w:rFonts w:ascii="Arial" w:hAnsi="Arial" w:cs="Arial"/>
          <w:b/>
          <w:color w:val="010000"/>
          <w:sz w:val="20"/>
        </w:rPr>
        <w:t>STW: Explanation of the fluctuations in profit after tax in 2023, before and after audit</w:t>
      </w:r>
    </w:p>
    <w:p w14:paraId="389EDC19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777601">
        <w:rPr>
          <w:rFonts w:ascii="Arial" w:hAnsi="Arial" w:cs="Arial"/>
          <w:color w:val="010000"/>
          <w:sz w:val="20"/>
        </w:rPr>
        <w:t>SocTrang</w:t>
      </w:r>
      <w:proofErr w:type="spellEnd"/>
      <w:r w:rsidRPr="00777601">
        <w:rPr>
          <w:rFonts w:ascii="Arial" w:hAnsi="Arial" w:cs="Arial"/>
          <w:color w:val="010000"/>
          <w:sz w:val="20"/>
        </w:rPr>
        <w:t xml:space="preserve"> Water Supply Joint Stock Company announced Official Dispatch No. 188/CV-CN on explaining profit after tax in the Financial Statements 2023 changing by 10% or more compared to that of the same period in 2022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9"/>
        <w:gridCol w:w="2282"/>
        <w:gridCol w:w="2245"/>
        <w:gridCol w:w="1001"/>
      </w:tblGrid>
      <w:tr w:rsidR="00803191" w:rsidRPr="00777601" w14:paraId="578A0732" w14:textId="77777777" w:rsidTr="00E71A59">
        <w:tc>
          <w:tcPr>
            <w:tcW w:w="1945" w:type="pct"/>
            <w:shd w:val="clear" w:color="auto" w:fill="auto"/>
            <w:vAlign w:val="center"/>
          </w:tcPr>
          <w:p w14:paraId="416E6E25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4844AB9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2336769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912F692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803191" w:rsidRPr="00777601" w14:paraId="1E228B76" w14:textId="77777777" w:rsidTr="00E71A59">
        <w:tc>
          <w:tcPr>
            <w:tcW w:w="1945" w:type="pct"/>
            <w:shd w:val="clear" w:color="auto" w:fill="auto"/>
            <w:vAlign w:val="center"/>
          </w:tcPr>
          <w:p w14:paraId="6542DFEE" w14:textId="77777777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1959456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219,166,470,584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2689024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207,287,813,004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06E9A4F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106%</w:t>
            </w:r>
          </w:p>
        </w:tc>
      </w:tr>
      <w:tr w:rsidR="00803191" w:rsidRPr="00777601" w14:paraId="1B8D47A8" w14:textId="77777777" w:rsidTr="00E71A59">
        <w:tc>
          <w:tcPr>
            <w:tcW w:w="1945" w:type="pct"/>
            <w:shd w:val="clear" w:color="auto" w:fill="auto"/>
            <w:vAlign w:val="center"/>
          </w:tcPr>
          <w:p w14:paraId="2E4D01A3" w14:textId="77777777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B44A6E6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107,421,178,603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3C3B9D7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113,208,944,955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BD69B6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</w:tr>
      <w:tr w:rsidR="00803191" w:rsidRPr="00777601" w14:paraId="5FB02BF3" w14:textId="77777777" w:rsidTr="00E71A59">
        <w:tc>
          <w:tcPr>
            <w:tcW w:w="1945" w:type="pct"/>
            <w:shd w:val="clear" w:color="auto" w:fill="auto"/>
            <w:vAlign w:val="center"/>
          </w:tcPr>
          <w:p w14:paraId="1602B806" w14:textId="77777777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Financial expense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15A764E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67943B0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777601">
              <w:rPr>
                <w:rFonts w:ascii="Arial" w:hAnsi="Arial" w:cs="Arial"/>
                <w:color w:val="010000"/>
                <w:sz w:val="20"/>
              </w:rPr>
              <w:t>304,661,514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5267700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803191" w:rsidRPr="00777601" w14:paraId="6096A3CE" w14:textId="77777777" w:rsidTr="00E71A59">
        <w:tc>
          <w:tcPr>
            <w:tcW w:w="1945" w:type="pct"/>
            <w:shd w:val="clear" w:color="auto" w:fill="auto"/>
            <w:vAlign w:val="center"/>
          </w:tcPr>
          <w:p w14:paraId="0492E7EA" w14:textId="636DEFD1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2D7BF4C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27,156,245,328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9D27E6E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25,059,154,253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B49282A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108%</w:t>
            </w:r>
          </w:p>
        </w:tc>
      </w:tr>
      <w:tr w:rsidR="00803191" w:rsidRPr="00777601" w14:paraId="5E6E28C0" w14:textId="77777777" w:rsidTr="00E71A59">
        <w:tc>
          <w:tcPr>
            <w:tcW w:w="1945" w:type="pct"/>
            <w:shd w:val="clear" w:color="auto" w:fill="auto"/>
            <w:vAlign w:val="center"/>
          </w:tcPr>
          <w:p w14:paraId="0E16F9CB" w14:textId="0B961878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  <w:r w:rsidR="00777601" w:rsidRPr="00777601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279A010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27,141,528,196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EFE4BF2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24,059,499,633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CB45D5A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113%</w:t>
            </w:r>
          </w:p>
        </w:tc>
      </w:tr>
      <w:tr w:rsidR="00803191" w:rsidRPr="00777601" w14:paraId="36FC76F0" w14:textId="77777777" w:rsidTr="00E71A59">
        <w:tc>
          <w:tcPr>
            <w:tcW w:w="1945" w:type="pct"/>
            <w:shd w:val="clear" w:color="auto" w:fill="auto"/>
            <w:vAlign w:val="center"/>
          </w:tcPr>
          <w:p w14:paraId="431E2CAF" w14:textId="77777777" w:rsidR="00803191" w:rsidRPr="00777601" w:rsidRDefault="00E71A59" w:rsidP="00E71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7A514BB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50,501,586,964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3193E00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35,703,159,180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A6C4769" w14:textId="77777777" w:rsidR="00803191" w:rsidRPr="00777601" w:rsidRDefault="00E71A59" w:rsidP="00AE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77601">
              <w:rPr>
                <w:rFonts w:ascii="Arial" w:hAnsi="Arial" w:cs="Arial"/>
                <w:color w:val="010000"/>
                <w:sz w:val="20"/>
              </w:rPr>
              <w:t>141</w:t>
            </w:r>
          </w:p>
        </w:tc>
      </w:tr>
    </w:tbl>
    <w:p w14:paraId="0E6BAF54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>Reason:</w:t>
      </w:r>
    </w:p>
    <w:p w14:paraId="5431F0B2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>Total revenue in 2023 increased by VND 11,878,657,580, equivalent to an increase of 6% compared to that of 2022.</w:t>
      </w:r>
    </w:p>
    <w:p w14:paraId="1AEBCBEF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>Cost of goods sold in 2023 decreased by VND 5,787,766,352, equivalent to a decrease of 5% compared to that of 2022.</w:t>
      </w:r>
    </w:p>
    <w:p w14:paraId="62FB5F8C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>Financial expenses in 2023 did not arise compared to that of 2022 because the Company paid off all loans from banks in 2022.</w:t>
      </w:r>
    </w:p>
    <w:p w14:paraId="608D61E3" w14:textId="7777777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>Financial expenses in 2023 decreased by VND 2,097,091,075, equivalent to a decrease of 8% compared to that of 2022.</w:t>
      </w:r>
    </w:p>
    <w:p w14:paraId="2AF12E1D" w14:textId="09FE22C1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 xml:space="preserve">The general and administrative expenses in 2023 increased by VND 3,082,028,563, equivalent to an increase of 13% compared to that of 2022. The primary reason is that in 2022, the Company reversed the cost of provisioning for bad debts amounting to VND 1,658,441,315 and thus the </w:t>
      </w:r>
      <w:r w:rsidR="00777601" w:rsidRPr="00777601">
        <w:rPr>
          <w:rFonts w:ascii="Arial" w:hAnsi="Arial" w:cs="Arial"/>
          <w:color w:val="010000"/>
          <w:sz w:val="20"/>
        </w:rPr>
        <w:t>general and administrative expenses</w:t>
      </w:r>
      <w:r w:rsidRPr="00777601">
        <w:rPr>
          <w:rFonts w:ascii="Arial" w:hAnsi="Arial" w:cs="Arial"/>
          <w:color w:val="010000"/>
          <w:sz w:val="20"/>
        </w:rPr>
        <w:t xml:space="preserve"> in 2022 were lower than those in 2023. </w:t>
      </w:r>
    </w:p>
    <w:p w14:paraId="0182D08D" w14:textId="054E4867" w:rsidR="00803191" w:rsidRPr="00777601" w:rsidRDefault="00E71A59" w:rsidP="00AE38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601">
        <w:rPr>
          <w:rFonts w:ascii="Arial" w:hAnsi="Arial" w:cs="Arial"/>
          <w:color w:val="010000"/>
          <w:sz w:val="20"/>
        </w:rPr>
        <w:t xml:space="preserve">With the increase in revenue surpassing the increase in sales costs and </w:t>
      </w:r>
      <w:r w:rsidR="00777601" w:rsidRPr="00777601">
        <w:rPr>
          <w:rFonts w:ascii="Arial" w:hAnsi="Arial" w:cs="Arial"/>
          <w:color w:val="010000"/>
          <w:sz w:val="20"/>
        </w:rPr>
        <w:t>general and administrative expenses</w:t>
      </w:r>
      <w:r w:rsidRPr="00777601">
        <w:rPr>
          <w:rFonts w:ascii="Arial" w:hAnsi="Arial" w:cs="Arial"/>
          <w:color w:val="010000"/>
          <w:sz w:val="20"/>
        </w:rPr>
        <w:t>, and the cost of goods sold during the year also decreasing, the profit after tax in 2023 increased by VND 14,798,427,784, equivalent to an increase of 41% compared to that of the same period in 2022.</w:t>
      </w:r>
    </w:p>
    <w:sectPr w:rsidR="00803191" w:rsidRPr="00777601" w:rsidSect="00E71A5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91"/>
    <w:rsid w:val="00777601"/>
    <w:rsid w:val="00803191"/>
    <w:rsid w:val="00AE3880"/>
    <w:rsid w:val="00E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D+hbTaBHksN5IMQtzCWD2KvO8Q==">CgMxLjA4AHIhMTdnbk9mTUdEWllZUldoaGdIUENrQkZBYzM4VE5LU29j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Ha Anh</cp:lastModifiedBy>
  <cp:revision>4</cp:revision>
  <dcterms:created xsi:type="dcterms:W3CDTF">2024-03-26T03:54:00Z</dcterms:created>
  <dcterms:modified xsi:type="dcterms:W3CDTF">2024-03-27T03:32:00Z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a2fa108ca6af597b00e0444b3a0e1a5beef75390211579617c1c6b7640bb65da</vt:lpwstr>
  </property>
</Properties>
</file>