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27125" w14:textId="103D9FF7" w:rsidR="00297B7E" w:rsidRPr="00AC6FAB" w:rsidRDefault="00623094" w:rsidP="000D030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</w:rPr>
      </w:pPr>
      <w:r w:rsidRPr="00AC6FAB">
        <w:rPr>
          <w:rFonts w:ascii="Arial" w:hAnsi="Arial" w:cs="Arial"/>
          <w:b/>
          <w:color w:val="010000"/>
          <w:sz w:val="20"/>
        </w:rPr>
        <w:t>SVH: Explanation of fluctuations in profit after tax in 2023 compared to the previous year</w:t>
      </w:r>
    </w:p>
    <w:p w14:paraId="55B3A179" w14:textId="428234C4" w:rsidR="00623094" w:rsidRPr="00AC6FAB" w:rsidRDefault="00623094" w:rsidP="000D030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</w:rPr>
      </w:pPr>
      <w:r w:rsidRPr="00AC6FAB">
        <w:rPr>
          <w:rFonts w:ascii="Arial" w:hAnsi="Arial" w:cs="Arial"/>
          <w:color w:val="010000"/>
          <w:sz w:val="20"/>
        </w:rPr>
        <w:t xml:space="preserve">On March 21, 2024, Song </w:t>
      </w:r>
      <w:proofErr w:type="spellStart"/>
      <w:r w:rsidRPr="00AC6FAB">
        <w:rPr>
          <w:rFonts w:ascii="Arial" w:hAnsi="Arial" w:cs="Arial"/>
          <w:color w:val="010000"/>
          <w:sz w:val="20"/>
        </w:rPr>
        <w:t>Vang</w:t>
      </w:r>
      <w:proofErr w:type="spellEnd"/>
      <w:r w:rsidRPr="00AC6FAB">
        <w:rPr>
          <w:rFonts w:ascii="Arial" w:hAnsi="Arial" w:cs="Arial"/>
          <w:color w:val="010000"/>
          <w:sz w:val="20"/>
        </w:rPr>
        <w:t xml:space="preserve"> Hydropower Joint Stock Company announced Official Dispatch No. 13/2024/CV-SVH on explaining the results of production and business activities in 2023 as follows: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9"/>
        <w:gridCol w:w="1835"/>
        <w:gridCol w:w="1954"/>
        <w:gridCol w:w="1399"/>
      </w:tblGrid>
      <w:tr w:rsidR="00297B7E" w:rsidRPr="00AC6FAB" w14:paraId="1F32712A" w14:textId="77777777" w:rsidTr="006E5849">
        <w:tc>
          <w:tcPr>
            <w:tcW w:w="2133" w:type="pct"/>
            <w:shd w:val="clear" w:color="auto" w:fill="auto"/>
            <w:vAlign w:val="center"/>
          </w:tcPr>
          <w:p w14:paraId="1F327126" w14:textId="77777777" w:rsidR="00297B7E" w:rsidRPr="00AC6FAB" w:rsidRDefault="009D6171" w:rsidP="006E5849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Target (VND)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1F327127" w14:textId="77777777" w:rsidR="00297B7E" w:rsidRPr="00AC6FAB" w:rsidRDefault="009D6171" w:rsidP="006E5849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1F327128" w14:textId="77777777" w:rsidR="00297B7E" w:rsidRPr="00AC6FAB" w:rsidRDefault="009D6171" w:rsidP="006E5849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F327129" w14:textId="77777777" w:rsidR="00297B7E" w:rsidRPr="00AC6FAB" w:rsidRDefault="009D6171" w:rsidP="006E5849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Difference (%)</w:t>
            </w:r>
          </w:p>
        </w:tc>
      </w:tr>
      <w:tr w:rsidR="00297B7E" w:rsidRPr="00AC6FAB" w14:paraId="1F32712F" w14:textId="77777777" w:rsidTr="006E5849">
        <w:tc>
          <w:tcPr>
            <w:tcW w:w="2133" w:type="pct"/>
            <w:shd w:val="clear" w:color="auto" w:fill="auto"/>
            <w:vAlign w:val="center"/>
          </w:tcPr>
          <w:p w14:paraId="1F32712B" w14:textId="77777777" w:rsidR="00297B7E" w:rsidRPr="00AC6FAB" w:rsidRDefault="009D6171" w:rsidP="006E5849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1 Revenue from goods sale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1F32712C" w14:textId="77777777" w:rsidR="00297B7E" w:rsidRPr="00AC6FAB" w:rsidRDefault="009D6171" w:rsidP="00A63E69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56,328,580,772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1F32712D" w14:textId="77777777" w:rsidR="00297B7E" w:rsidRPr="00AC6FAB" w:rsidRDefault="009D6171" w:rsidP="00A63E69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67,443,392,712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F32712E" w14:textId="77777777" w:rsidR="00297B7E" w:rsidRPr="00AC6FAB" w:rsidRDefault="009D6171" w:rsidP="00A63E69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-16.48%</w:t>
            </w:r>
          </w:p>
        </w:tc>
      </w:tr>
      <w:tr w:rsidR="00297B7E" w:rsidRPr="00AC6FAB" w14:paraId="1F327134" w14:textId="77777777" w:rsidTr="006E5849">
        <w:tc>
          <w:tcPr>
            <w:tcW w:w="2133" w:type="pct"/>
            <w:shd w:val="clear" w:color="auto" w:fill="auto"/>
            <w:vAlign w:val="center"/>
          </w:tcPr>
          <w:p w14:paraId="1F327130" w14:textId="77777777" w:rsidR="00297B7E" w:rsidRPr="00AC6FAB" w:rsidRDefault="009D6171" w:rsidP="000D0309">
            <w:pPr>
              <w:pStyle w:val="Khc0"/>
              <w:spacing w:after="120" w:line="360" w:lineRule="auto"/>
              <w:ind w:firstLine="0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2. Profit after tax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1F327131" w14:textId="77777777" w:rsidR="00297B7E" w:rsidRPr="00AC6FAB" w:rsidRDefault="009D6171" w:rsidP="00A63E69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29,661,578,279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1F327132" w14:textId="77777777" w:rsidR="00297B7E" w:rsidRPr="00AC6FAB" w:rsidRDefault="009D6171" w:rsidP="00A63E69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34,350,151,712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F327133" w14:textId="77777777" w:rsidR="00297B7E" w:rsidRPr="00AC6FAB" w:rsidRDefault="009D6171" w:rsidP="00A63E69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6FAB">
              <w:rPr>
                <w:rFonts w:ascii="Arial" w:hAnsi="Arial" w:cs="Arial"/>
                <w:color w:val="010000"/>
                <w:sz w:val="20"/>
              </w:rPr>
              <w:t>-13.65%</w:t>
            </w:r>
          </w:p>
        </w:tc>
      </w:tr>
    </w:tbl>
    <w:p w14:paraId="14E5BB4E" w14:textId="77777777" w:rsidR="00A24850" w:rsidRPr="00AC6FAB" w:rsidRDefault="009D6171" w:rsidP="000D030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AC6FAB">
        <w:rPr>
          <w:rFonts w:ascii="Arial" w:hAnsi="Arial" w:cs="Arial"/>
          <w:color w:val="010000"/>
          <w:sz w:val="20"/>
        </w:rPr>
        <w:t xml:space="preserve">Reason: </w:t>
      </w:r>
    </w:p>
    <w:p w14:paraId="1F327136" w14:textId="620E7983" w:rsidR="00297B7E" w:rsidRPr="00AC6FAB" w:rsidRDefault="009D6171" w:rsidP="000D0309">
      <w:pPr>
        <w:pStyle w:val="Vnbnnidung0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AC6FAB">
        <w:rPr>
          <w:rFonts w:ascii="Arial" w:hAnsi="Arial" w:cs="Arial"/>
          <w:color w:val="010000"/>
          <w:sz w:val="20"/>
        </w:rPr>
        <w:t xml:space="preserve">The profit after tax of the Company mainly depends on the revenue from production and business activities, financial expenses, cost of goods sold, general and administrative </w:t>
      </w:r>
      <w:r w:rsidR="00AC6FAB">
        <w:rPr>
          <w:rFonts w:ascii="Arial" w:hAnsi="Arial" w:cs="Arial"/>
          <w:color w:val="010000"/>
          <w:sz w:val="20"/>
        </w:rPr>
        <w:t>expenses</w:t>
      </w:r>
      <w:r w:rsidRPr="00AC6FAB">
        <w:rPr>
          <w:rFonts w:ascii="Arial" w:hAnsi="Arial" w:cs="Arial"/>
          <w:color w:val="010000"/>
          <w:sz w:val="20"/>
        </w:rPr>
        <w:t xml:space="preserve"> and revenue from financial activities.</w:t>
      </w:r>
    </w:p>
    <w:p w14:paraId="1F327137" w14:textId="1E1C99B7" w:rsidR="00297B7E" w:rsidRPr="00AC6FAB" w:rsidRDefault="009D6171" w:rsidP="000D0309">
      <w:pPr>
        <w:pStyle w:val="Vnbnnidung0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AC6FAB">
        <w:rPr>
          <w:rFonts w:ascii="Arial" w:hAnsi="Arial" w:cs="Arial"/>
          <w:color w:val="010000"/>
          <w:sz w:val="20"/>
        </w:rPr>
        <w:t>In 2023, the weather in the Central region is not favorable compared to the same period in 2022. Thus, revenue in 2023 (VND 56,328,580,772) decreases by 16.48% compared to revenue in 2022 (VND 67,443,3</w:t>
      </w:r>
      <w:bookmarkStart w:id="0" w:name="_GoBack"/>
      <w:bookmarkEnd w:id="0"/>
      <w:r w:rsidRPr="00AC6FAB">
        <w:rPr>
          <w:rFonts w:ascii="Arial" w:hAnsi="Arial" w:cs="Arial"/>
          <w:color w:val="010000"/>
          <w:sz w:val="20"/>
        </w:rPr>
        <w:t xml:space="preserve">92,712) corresponding to a decrease of VND 11,114,811,940. At the same time, in 2023, the Company has other business activities that are not eligible for tax incentives and are subject to a tax rate of 20% with the amount of VND 2,837,844,983. </w:t>
      </w:r>
    </w:p>
    <w:p w14:paraId="1F327138" w14:textId="77777777" w:rsidR="00297B7E" w:rsidRPr="00AC6FAB" w:rsidRDefault="009D6171" w:rsidP="000D030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AC6FAB">
        <w:rPr>
          <w:rFonts w:ascii="Arial" w:hAnsi="Arial" w:cs="Arial"/>
          <w:color w:val="010000"/>
          <w:sz w:val="20"/>
        </w:rPr>
        <w:t xml:space="preserve">Thus, profit after tax in 2023 (VND 29,661,578,279) decreases by 13.65% compared to the report for the same period in 2022 (VND 34,350,151,712), corresponding to a decrease of VND 4,688,573,433. </w:t>
      </w:r>
    </w:p>
    <w:sectPr w:rsidR="00297B7E" w:rsidRPr="00AC6FAB" w:rsidSect="006E5849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B8C54" w14:textId="77777777" w:rsidR="00C13B9F" w:rsidRDefault="00C13B9F">
      <w:r>
        <w:separator/>
      </w:r>
    </w:p>
  </w:endnote>
  <w:endnote w:type="continuationSeparator" w:id="0">
    <w:p w14:paraId="670B2BD1" w14:textId="77777777" w:rsidR="00C13B9F" w:rsidRDefault="00C1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6CB9B" w14:textId="77777777" w:rsidR="00C13B9F" w:rsidRDefault="00C13B9F"/>
  </w:footnote>
  <w:footnote w:type="continuationSeparator" w:id="0">
    <w:p w14:paraId="14345E83" w14:textId="77777777" w:rsidR="00C13B9F" w:rsidRDefault="00C13B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368"/>
    <w:multiLevelType w:val="hybridMultilevel"/>
    <w:tmpl w:val="43AA41CC"/>
    <w:lvl w:ilvl="0" w:tplc="1E6C9D50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2CC8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452C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7E"/>
    <w:rsid w:val="000D0309"/>
    <w:rsid w:val="001273FF"/>
    <w:rsid w:val="00297B7E"/>
    <w:rsid w:val="003A72C2"/>
    <w:rsid w:val="00623094"/>
    <w:rsid w:val="006E5849"/>
    <w:rsid w:val="009D6171"/>
    <w:rsid w:val="00A24850"/>
    <w:rsid w:val="00A63E69"/>
    <w:rsid w:val="00AC6FAB"/>
    <w:rsid w:val="00B46963"/>
    <w:rsid w:val="00C13B9F"/>
    <w:rsid w:val="00D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27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47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0000FF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11" w:lineRule="auto"/>
    </w:pPr>
    <w:rPr>
      <w:rFonts w:ascii="Times New Roman" w:eastAsia="Times New Roman" w:hAnsi="Times New Roman" w:cs="Times New Roman"/>
      <w:color w:val="0000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47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0000FF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11" w:lineRule="auto"/>
    </w:pPr>
    <w:rPr>
      <w:rFonts w:ascii="Times New Roman" w:eastAsia="Times New Roman" w:hAnsi="Times New Roman" w:cs="Times New Roman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11</cp:revision>
  <dcterms:created xsi:type="dcterms:W3CDTF">2024-03-27T04:27:00Z</dcterms:created>
  <dcterms:modified xsi:type="dcterms:W3CDTF">2024-03-28T06:37:00Z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1a79500fbe904af9e3a8e6def1fcccd0231eddc2e7125a5baecd845f15e6eb7e</vt:lpwstr>
  </property>
</Properties>
</file>