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0A8D" w14:textId="77777777" w:rsidR="00642CBA" w:rsidRPr="00D55455" w:rsidRDefault="00C8250D" w:rsidP="00AC7165">
      <w:pPr>
        <w:keepNext/>
        <w:pBdr>
          <w:top w:val="nil"/>
          <w:left w:val="nil"/>
          <w:bottom w:val="nil"/>
          <w:right w:val="nil"/>
          <w:between w:val="nil"/>
        </w:pBdr>
        <w:tabs>
          <w:tab w:val="left" w:pos="432"/>
          <w:tab w:val="left" w:pos="1454"/>
        </w:tabs>
        <w:spacing w:after="120" w:line="360" w:lineRule="auto"/>
        <w:jc w:val="both"/>
        <w:rPr>
          <w:rFonts w:ascii="Arial" w:eastAsia="Arial" w:hAnsi="Arial" w:cs="Arial"/>
          <w:b/>
          <w:color w:val="010000"/>
          <w:sz w:val="20"/>
          <w:szCs w:val="20"/>
        </w:rPr>
      </w:pPr>
      <w:r w:rsidRPr="00D55455">
        <w:rPr>
          <w:rFonts w:ascii="Arial" w:hAnsi="Arial" w:cs="Arial"/>
          <w:b/>
          <w:color w:val="010000"/>
          <w:sz w:val="20"/>
        </w:rPr>
        <w:t>TNB: Annual General Mandate 2024</w:t>
      </w:r>
    </w:p>
    <w:p w14:paraId="2EF48A42" w14:textId="77777777" w:rsidR="00642CBA" w:rsidRPr="00D55455" w:rsidRDefault="00C8250D" w:rsidP="00AC7165">
      <w:pPr>
        <w:keepNext/>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sidRPr="00D55455">
        <w:rPr>
          <w:rFonts w:ascii="Arial" w:hAnsi="Arial" w:cs="Arial"/>
          <w:color w:val="010000"/>
          <w:sz w:val="20"/>
        </w:rPr>
        <w:t xml:space="preserve">On March 20, 2024, </w:t>
      </w:r>
      <w:proofErr w:type="spellStart"/>
      <w:r w:rsidRPr="00D55455">
        <w:rPr>
          <w:rFonts w:ascii="Arial" w:hAnsi="Arial" w:cs="Arial"/>
          <w:color w:val="010000"/>
          <w:sz w:val="20"/>
        </w:rPr>
        <w:t>Nha</w:t>
      </w:r>
      <w:proofErr w:type="spellEnd"/>
      <w:r w:rsidRPr="00D55455">
        <w:rPr>
          <w:rFonts w:ascii="Arial" w:hAnsi="Arial" w:cs="Arial"/>
          <w:color w:val="010000"/>
          <w:sz w:val="20"/>
        </w:rPr>
        <w:t xml:space="preserve"> Be Steel JSC announced General Mandate No. 41/2024/NQ-DHDCD, as follows:</w:t>
      </w:r>
    </w:p>
    <w:p w14:paraId="7668C0F1" w14:textId="2647E8F4"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1.</w:t>
      </w:r>
      <w:proofErr w:type="gramEnd"/>
      <w:r w:rsidRPr="00D55455">
        <w:rPr>
          <w:rFonts w:ascii="Arial" w:hAnsi="Arial" w:cs="Arial"/>
          <w:color w:val="010000"/>
          <w:sz w:val="20"/>
        </w:rPr>
        <w:t xml:space="preserve"> Approve the report on operations and production and business results in 2023 and orientation for 2024 of the Board of Directors and Board of </w:t>
      </w:r>
      <w:r w:rsidR="00D55455" w:rsidRPr="00D55455">
        <w:rPr>
          <w:rFonts w:ascii="Arial" w:hAnsi="Arial" w:cs="Arial"/>
          <w:color w:val="010000"/>
          <w:sz w:val="20"/>
        </w:rPr>
        <w:t>Management</w:t>
      </w:r>
      <w:r w:rsidRPr="00D55455">
        <w:rPr>
          <w:rFonts w:ascii="Arial" w:hAnsi="Arial" w:cs="Arial"/>
          <w:color w:val="010000"/>
          <w:sz w:val="20"/>
        </w:rPr>
        <w:t>. With the following contents:</w:t>
      </w:r>
    </w:p>
    <w:p w14:paraId="2BBEDBE2" w14:textId="01E99F50" w:rsidR="00642CBA" w:rsidRPr="00D55455" w:rsidRDefault="00C8250D" w:rsidP="00AC7165">
      <w:pPr>
        <w:numPr>
          <w:ilvl w:val="0"/>
          <w:numId w:val="4"/>
        </w:numPr>
        <w:pBdr>
          <w:top w:val="nil"/>
          <w:left w:val="nil"/>
          <w:bottom w:val="nil"/>
          <w:right w:val="nil"/>
          <w:between w:val="nil"/>
        </w:pBdr>
        <w:tabs>
          <w:tab w:val="left" w:pos="426"/>
          <w:tab w:val="left" w:pos="2310"/>
        </w:tabs>
        <w:spacing w:after="120" w:line="360" w:lineRule="auto"/>
        <w:jc w:val="both"/>
        <w:rPr>
          <w:rFonts w:ascii="Arial" w:eastAsia="Arial" w:hAnsi="Arial" w:cs="Arial"/>
          <w:color w:val="010000"/>
          <w:sz w:val="20"/>
          <w:szCs w:val="20"/>
        </w:rPr>
      </w:pPr>
      <w:r w:rsidRPr="00D55455">
        <w:rPr>
          <w:rFonts w:ascii="Arial" w:hAnsi="Arial" w:cs="Arial"/>
          <w:color w:val="010000"/>
          <w:sz w:val="20"/>
        </w:rPr>
        <w:t>Rolled steel production output reached 94,486 tons/Plan</w:t>
      </w:r>
      <w:r w:rsidR="00D55455" w:rsidRPr="00D55455">
        <w:rPr>
          <w:rFonts w:ascii="Arial" w:hAnsi="Arial" w:cs="Arial"/>
          <w:color w:val="010000"/>
          <w:sz w:val="20"/>
        </w:rPr>
        <w:t xml:space="preserve"> of</w:t>
      </w:r>
      <w:r w:rsidRPr="00D55455">
        <w:rPr>
          <w:rFonts w:ascii="Arial" w:hAnsi="Arial" w:cs="Arial"/>
          <w:color w:val="010000"/>
          <w:sz w:val="20"/>
        </w:rPr>
        <w:t xml:space="preserve"> 115,000 tons, reaching 82.52%</w:t>
      </w:r>
    </w:p>
    <w:p w14:paraId="54062A2B" w14:textId="4E19A579" w:rsidR="00642CBA" w:rsidRPr="00D55455" w:rsidRDefault="00C8250D" w:rsidP="00AC7165">
      <w:pPr>
        <w:numPr>
          <w:ilvl w:val="0"/>
          <w:numId w:val="4"/>
        </w:numPr>
        <w:pBdr>
          <w:top w:val="nil"/>
          <w:left w:val="nil"/>
          <w:bottom w:val="nil"/>
          <w:right w:val="nil"/>
          <w:between w:val="nil"/>
        </w:pBdr>
        <w:tabs>
          <w:tab w:val="left" w:pos="426"/>
          <w:tab w:val="left" w:pos="2310"/>
        </w:tabs>
        <w:spacing w:after="120" w:line="360" w:lineRule="auto"/>
        <w:jc w:val="both"/>
        <w:rPr>
          <w:rFonts w:ascii="Arial" w:eastAsia="Arial" w:hAnsi="Arial" w:cs="Arial"/>
          <w:color w:val="010000"/>
          <w:sz w:val="20"/>
          <w:szCs w:val="20"/>
        </w:rPr>
      </w:pPr>
      <w:r w:rsidRPr="00D55455">
        <w:rPr>
          <w:rFonts w:ascii="Arial" w:hAnsi="Arial" w:cs="Arial"/>
          <w:color w:val="010000"/>
          <w:sz w:val="20"/>
        </w:rPr>
        <w:t>Consumption output</w:t>
      </w:r>
      <w:r w:rsidR="00D55455" w:rsidRPr="00D55455">
        <w:rPr>
          <w:rFonts w:ascii="Arial" w:hAnsi="Arial" w:cs="Arial"/>
          <w:color w:val="010000"/>
          <w:sz w:val="20"/>
        </w:rPr>
        <w:t>:</w:t>
      </w:r>
      <w:r w:rsidRPr="00D55455">
        <w:rPr>
          <w:rFonts w:ascii="Arial" w:hAnsi="Arial" w:cs="Arial"/>
          <w:color w:val="010000"/>
          <w:sz w:val="20"/>
        </w:rPr>
        <w:t xml:space="preserve"> 95,613 tons/Plan </w:t>
      </w:r>
      <w:r w:rsidR="00D55455" w:rsidRPr="00D55455">
        <w:rPr>
          <w:rFonts w:ascii="Arial" w:hAnsi="Arial" w:cs="Arial"/>
          <w:color w:val="010000"/>
          <w:sz w:val="20"/>
        </w:rPr>
        <w:t xml:space="preserve">of </w:t>
      </w:r>
      <w:r w:rsidRPr="00D55455">
        <w:rPr>
          <w:rFonts w:ascii="Arial" w:hAnsi="Arial" w:cs="Arial"/>
          <w:color w:val="010000"/>
          <w:sz w:val="20"/>
        </w:rPr>
        <w:t>115,000 tons, reaching 83.14%</w:t>
      </w:r>
    </w:p>
    <w:p w14:paraId="0B8C8EE3" w14:textId="3CB85C7F" w:rsidR="00642CBA" w:rsidRPr="00D55455" w:rsidRDefault="00C8250D" w:rsidP="00AC7165">
      <w:pPr>
        <w:numPr>
          <w:ilvl w:val="0"/>
          <w:numId w:val="4"/>
        </w:numPr>
        <w:pBdr>
          <w:top w:val="nil"/>
          <w:left w:val="nil"/>
          <w:bottom w:val="nil"/>
          <w:right w:val="nil"/>
          <w:between w:val="nil"/>
        </w:pBdr>
        <w:tabs>
          <w:tab w:val="left" w:pos="426"/>
          <w:tab w:val="left" w:pos="2314"/>
        </w:tabs>
        <w:spacing w:after="120" w:line="360" w:lineRule="auto"/>
        <w:jc w:val="both"/>
        <w:rPr>
          <w:rFonts w:ascii="Arial" w:eastAsia="Arial" w:hAnsi="Arial" w:cs="Arial"/>
          <w:color w:val="010000"/>
          <w:sz w:val="20"/>
          <w:szCs w:val="20"/>
        </w:rPr>
      </w:pPr>
      <w:r w:rsidRPr="00D55455">
        <w:rPr>
          <w:rFonts w:ascii="Arial" w:hAnsi="Arial" w:cs="Arial"/>
          <w:color w:val="010000"/>
          <w:sz w:val="20"/>
        </w:rPr>
        <w:t>Revenue: VND 1,447.636</w:t>
      </w:r>
      <w:r w:rsidR="00D55455" w:rsidRPr="00D55455">
        <w:rPr>
          <w:rFonts w:ascii="Arial" w:hAnsi="Arial" w:cs="Arial"/>
          <w:color w:val="010000"/>
          <w:sz w:val="20"/>
        </w:rPr>
        <w:t xml:space="preserve"> billion</w:t>
      </w:r>
      <w:r w:rsidRPr="00D55455">
        <w:rPr>
          <w:rFonts w:ascii="Arial" w:hAnsi="Arial" w:cs="Arial"/>
          <w:color w:val="010000"/>
          <w:sz w:val="20"/>
        </w:rPr>
        <w:t>, reaching 89.92% of the plan</w:t>
      </w:r>
    </w:p>
    <w:p w14:paraId="2A525715" w14:textId="77777777" w:rsidR="00642CBA" w:rsidRPr="00D55455" w:rsidRDefault="00C8250D" w:rsidP="00AC7165">
      <w:pPr>
        <w:numPr>
          <w:ilvl w:val="0"/>
          <w:numId w:val="4"/>
        </w:numPr>
        <w:pBdr>
          <w:top w:val="nil"/>
          <w:left w:val="nil"/>
          <w:bottom w:val="nil"/>
          <w:right w:val="nil"/>
          <w:between w:val="nil"/>
        </w:pBdr>
        <w:tabs>
          <w:tab w:val="left" w:pos="426"/>
          <w:tab w:val="left" w:pos="2314"/>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Profit before tax: VND 2.818 billion</w:t>
      </w:r>
    </w:p>
    <w:p w14:paraId="33E39872"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2.</w:t>
      </w:r>
      <w:proofErr w:type="gramEnd"/>
      <w:r w:rsidRPr="00D55455">
        <w:rPr>
          <w:rFonts w:ascii="Arial" w:hAnsi="Arial" w:cs="Arial"/>
          <w:color w:val="010000"/>
          <w:sz w:val="20"/>
        </w:rPr>
        <w:t xml:space="preserve"> Approve the Inspection Report of the Supervisory Board on the Company's operations in 2023.</w:t>
      </w:r>
    </w:p>
    <w:p w14:paraId="3D5C22C2" w14:textId="69BFF8C4"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3.</w:t>
      </w:r>
      <w:proofErr w:type="gramEnd"/>
      <w:r w:rsidRPr="00D55455">
        <w:rPr>
          <w:rFonts w:ascii="Arial" w:hAnsi="Arial" w:cs="Arial"/>
          <w:color w:val="010000"/>
          <w:sz w:val="20"/>
        </w:rPr>
        <w:t xml:space="preserve"> Approve the Audited </w:t>
      </w:r>
      <w:r w:rsidR="00D55455" w:rsidRPr="00D55455">
        <w:rPr>
          <w:rFonts w:ascii="Arial" w:hAnsi="Arial" w:cs="Arial"/>
          <w:color w:val="010000"/>
          <w:sz w:val="20"/>
        </w:rPr>
        <w:t>Financial Statements</w:t>
      </w:r>
      <w:r w:rsidRPr="00D55455">
        <w:rPr>
          <w:rFonts w:ascii="Arial" w:hAnsi="Arial" w:cs="Arial"/>
          <w:color w:val="010000"/>
          <w:sz w:val="20"/>
        </w:rPr>
        <w:t xml:space="preserve"> 2023 of the Company.</w:t>
      </w:r>
    </w:p>
    <w:p w14:paraId="12AE420C"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4.</w:t>
      </w:r>
      <w:proofErr w:type="gramEnd"/>
      <w:r w:rsidRPr="00D55455">
        <w:rPr>
          <w:rFonts w:ascii="Arial" w:hAnsi="Arial" w:cs="Arial"/>
          <w:color w:val="010000"/>
          <w:sz w:val="20"/>
        </w:rPr>
        <w:t xml:space="preserve"> Approve the settlement of salaries and remunerations of members of the Board of Directors and Supervisory Board in 2023. The General Meeting of Shareholders authorized the Board of Directors to consider and decide on the salary and remuneration plan for members of the Board of Directors and Supervisory Board in 2024.</w:t>
      </w:r>
    </w:p>
    <w:p w14:paraId="42288A78"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5.</w:t>
      </w:r>
      <w:proofErr w:type="gramEnd"/>
      <w:r w:rsidRPr="00D55455">
        <w:rPr>
          <w:rFonts w:ascii="Arial" w:hAnsi="Arial" w:cs="Arial"/>
          <w:color w:val="010000"/>
          <w:sz w:val="20"/>
        </w:rPr>
        <w:t xml:space="preserve"> Approve the profit distribution plan in 2023;</w:t>
      </w:r>
    </w:p>
    <w:p w14:paraId="2854FBB5"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Appropriation for welfare and bonus fund for employees: VND 266,400,000</w:t>
      </w:r>
    </w:p>
    <w:p w14:paraId="5F49079F" w14:textId="0C1E524C" w:rsidR="00642CBA" w:rsidRPr="00D55455" w:rsidRDefault="00C8250D" w:rsidP="00AC7165">
      <w:pPr>
        <w:numPr>
          <w:ilvl w:val="0"/>
          <w:numId w:val="5"/>
        </w:numPr>
        <w:pBdr>
          <w:top w:val="nil"/>
          <w:left w:val="nil"/>
          <w:bottom w:val="nil"/>
          <w:right w:val="nil"/>
          <w:between w:val="nil"/>
        </w:pBdr>
        <w:tabs>
          <w:tab w:val="left" w:pos="432"/>
          <w:tab w:val="left" w:pos="2775"/>
          <w:tab w:val="left" w:pos="5957"/>
        </w:tabs>
        <w:spacing w:after="120" w:line="360" w:lineRule="auto"/>
        <w:jc w:val="both"/>
        <w:rPr>
          <w:rFonts w:ascii="Arial" w:eastAsia="Arial" w:hAnsi="Arial" w:cs="Arial"/>
          <w:color w:val="010000"/>
          <w:sz w:val="20"/>
          <w:szCs w:val="20"/>
        </w:rPr>
      </w:pPr>
      <w:r w:rsidRPr="00D55455">
        <w:rPr>
          <w:rFonts w:ascii="Arial" w:hAnsi="Arial" w:cs="Arial"/>
          <w:color w:val="010000"/>
          <w:sz w:val="20"/>
        </w:rPr>
        <w:t>Welfare fund (70%)</w:t>
      </w:r>
      <w:r w:rsidR="00D55455" w:rsidRPr="00D55455">
        <w:rPr>
          <w:rFonts w:ascii="Arial" w:hAnsi="Arial" w:cs="Arial"/>
          <w:color w:val="010000"/>
          <w:sz w:val="20"/>
        </w:rPr>
        <w:t>:</w:t>
      </w:r>
      <w:r w:rsidRPr="00D55455">
        <w:rPr>
          <w:rFonts w:ascii="Arial" w:hAnsi="Arial" w:cs="Arial"/>
          <w:color w:val="010000"/>
          <w:sz w:val="20"/>
        </w:rPr>
        <w:t xml:space="preserve"> VND 186,480,000</w:t>
      </w:r>
    </w:p>
    <w:p w14:paraId="0FB659CC" w14:textId="77777777" w:rsidR="00642CBA" w:rsidRPr="00D55455" w:rsidRDefault="00C8250D" w:rsidP="00AC7165">
      <w:pPr>
        <w:numPr>
          <w:ilvl w:val="0"/>
          <w:numId w:val="5"/>
        </w:numPr>
        <w:pBdr>
          <w:top w:val="nil"/>
          <w:left w:val="nil"/>
          <w:bottom w:val="nil"/>
          <w:right w:val="nil"/>
          <w:between w:val="nil"/>
        </w:pBdr>
        <w:tabs>
          <w:tab w:val="left" w:pos="432"/>
          <w:tab w:val="left" w:pos="2775"/>
          <w:tab w:val="left" w:pos="5957"/>
        </w:tabs>
        <w:spacing w:after="120" w:line="360" w:lineRule="auto"/>
        <w:jc w:val="both"/>
        <w:rPr>
          <w:rFonts w:ascii="Arial" w:eastAsia="Arial" w:hAnsi="Arial" w:cs="Arial"/>
          <w:color w:val="010000"/>
          <w:sz w:val="20"/>
          <w:szCs w:val="20"/>
        </w:rPr>
      </w:pPr>
      <w:r w:rsidRPr="00D55455">
        <w:rPr>
          <w:rFonts w:ascii="Arial" w:hAnsi="Arial" w:cs="Arial"/>
          <w:color w:val="010000"/>
          <w:sz w:val="20"/>
        </w:rPr>
        <w:t>Bonus fund for employees (30%) VND 79,920,000</w:t>
      </w:r>
    </w:p>
    <w:p w14:paraId="619FA453"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6.</w:t>
      </w:r>
      <w:proofErr w:type="gramEnd"/>
      <w:r w:rsidRPr="00D55455">
        <w:rPr>
          <w:rFonts w:ascii="Arial" w:hAnsi="Arial" w:cs="Arial"/>
          <w:color w:val="010000"/>
          <w:sz w:val="20"/>
        </w:rPr>
        <w:t xml:space="preserve"> Agree with the Proposal on production and business - finance and investment plans for 2024.</w:t>
      </w:r>
    </w:p>
    <w:p w14:paraId="446FED5A" w14:textId="77777777" w:rsidR="00642CBA" w:rsidRPr="00D55455" w:rsidRDefault="00C8250D" w:rsidP="00AC7165">
      <w:pPr>
        <w:numPr>
          <w:ilvl w:val="0"/>
          <w:numId w:val="6"/>
        </w:numPr>
        <w:pBdr>
          <w:top w:val="nil"/>
          <w:left w:val="nil"/>
          <w:bottom w:val="nil"/>
          <w:right w:val="nil"/>
          <w:between w:val="nil"/>
        </w:pBdr>
        <w:tabs>
          <w:tab w:val="left" w:pos="432"/>
          <w:tab w:val="left" w:pos="1904"/>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Production and business plan for 2024</w:t>
      </w:r>
    </w:p>
    <w:p w14:paraId="14F17070" w14:textId="2F37CE24" w:rsidR="00642CBA" w:rsidRPr="00D55455" w:rsidRDefault="00C8250D" w:rsidP="00AC7165">
      <w:pPr>
        <w:numPr>
          <w:ilvl w:val="0"/>
          <w:numId w:val="4"/>
        </w:numPr>
        <w:pBdr>
          <w:top w:val="nil"/>
          <w:left w:val="nil"/>
          <w:bottom w:val="nil"/>
          <w:right w:val="nil"/>
          <w:between w:val="nil"/>
        </w:pBdr>
        <w:tabs>
          <w:tab w:val="left" w:pos="432"/>
          <w:tab w:val="left" w:pos="1630"/>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Production</w:t>
      </w:r>
      <w:r w:rsidR="00D55455" w:rsidRPr="00D55455">
        <w:rPr>
          <w:rFonts w:ascii="Arial" w:hAnsi="Arial" w:cs="Arial"/>
          <w:color w:val="010000"/>
          <w:sz w:val="20"/>
        </w:rPr>
        <w:t>:</w:t>
      </w:r>
      <w:r w:rsidRPr="00D55455">
        <w:rPr>
          <w:rFonts w:ascii="Arial" w:hAnsi="Arial" w:cs="Arial"/>
          <w:color w:val="010000"/>
          <w:sz w:val="20"/>
        </w:rPr>
        <w:t xml:space="preserve"> 97,000 tons of rolled steel</w:t>
      </w:r>
    </w:p>
    <w:p w14:paraId="0D732AE5" w14:textId="0AEC0616" w:rsidR="00642CBA" w:rsidRPr="00D55455" w:rsidRDefault="00C8250D" w:rsidP="00AC7165">
      <w:pPr>
        <w:numPr>
          <w:ilvl w:val="0"/>
          <w:numId w:val="4"/>
        </w:numPr>
        <w:pBdr>
          <w:top w:val="nil"/>
          <w:left w:val="nil"/>
          <w:bottom w:val="nil"/>
          <w:right w:val="nil"/>
          <w:between w:val="nil"/>
        </w:pBdr>
        <w:tabs>
          <w:tab w:val="left" w:pos="432"/>
          <w:tab w:val="left" w:pos="1630"/>
        </w:tabs>
        <w:spacing w:after="120" w:line="360" w:lineRule="auto"/>
        <w:jc w:val="both"/>
        <w:rPr>
          <w:rFonts w:ascii="Arial" w:eastAsia="Arial" w:hAnsi="Arial" w:cs="Arial"/>
          <w:color w:val="010000"/>
          <w:sz w:val="20"/>
          <w:szCs w:val="20"/>
        </w:rPr>
      </w:pPr>
      <w:r w:rsidRPr="00D55455">
        <w:rPr>
          <w:rFonts w:ascii="Arial" w:hAnsi="Arial" w:cs="Arial"/>
          <w:color w:val="010000"/>
          <w:sz w:val="20"/>
        </w:rPr>
        <w:t>Consumption</w:t>
      </w:r>
      <w:r w:rsidR="00D55455" w:rsidRPr="00D55455">
        <w:rPr>
          <w:rFonts w:ascii="Arial" w:hAnsi="Arial" w:cs="Arial"/>
          <w:color w:val="010000"/>
          <w:sz w:val="20"/>
        </w:rPr>
        <w:t>:</w:t>
      </w:r>
      <w:r w:rsidRPr="00D55455">
        <w:rPr>
          <w:rFonts w:ascii="Arial" w:hAnsi="Arial" w:cs="Arial"/>
          <w:color w:val="010000"/>
          <w:sz w:val="20"/>
        </w:rPr>
        <w:t xml:space="preserve"> 97,000 tons of rolled steel</w:t>
      </w:r>
    </w:p>
    <w:p w14:paraId="16413B22" w14:textId="77777777" w:rsidR="00642CBA" w:rsidRPr="00D55455" w:rsidRDefault="00C8250D" w:rsidP="00AC7165">
      <w:pPr>
        <w:numPr>
          <w:ilvl w:val="0"/>
          <w:numId w:val="6"/>
        </w:numPr>
        <w:pBdr>
          <w:top w:val="nil"/>
          <w:left w:val="nil"/>
          <w:bottom w:val="nil"/>
          <w:right w:val="nil"/>
          <w:between w:val="nil"/>
        </w:pBdr>
        <w:tabs>
          <w:tab w:val="left" w:pos="432"/>
          <w:tab w:val="left" w:pos="1904"/>
        </w:tabs>
        <w:spacing w:after="120" w:line="360" w:lineRule="auto"/>
        <w:jc w:val="both"/>
        <w:rPr>
          <w:rFonts w:ascii="Arial" w:eastAsia="Arial" w:hAnsi="Arial" w:cs="Arial"/>
          <w:color w:val="010000"/>
          <w:sz w:val="20"/>
          <w:szCs w:val="20"/>
        </w:rPr>
      </w:pPr>
      <w:r w:rsidRPr="00D55455">
        <w:rPr>
          <w:rFonts w:ascii="Arial" w:hAnsi="Arial" w:cs="Arial"/>
          <w:color w:val="010000"/>
          <w:sz w:val="20"/>
        </w:rPr>
        <w:t>Financial plan:</w:t>
      </w:r>
    </w:p>
    <w:p w14:paraId="5F8633B5" w14:textId="77777777" w:rsidR="00642CBA" w:rsidRPr="00D55455" w:rsidRDefault="00C8250D" w:rsidP="00AC7165">
      <w:pPr>
        <w:numPr>
          <w:ilvl w:val="0"/>
          <w:numId w:val="4"/>
        </w:numPr>
        <w:pBdr>
          <w:top w:val="nil"/>
          <w:left w:val="nil"/>
          <w:bottom w:val="nil"/>
          <w:right w:val="nil"/>
          <w:between w:val="nil"/>
        </w:pBdr>
        <w:tabs>
          <w:tab w:val="left" w:pos="432"/>
          <w:tab w:val="left" w:pos="1630"/>
          <w:tab w:val="left" w:pos="4142"/>
        </w:tabs>
        <w:spacing w:after="120" w:line="360" w:lineRule="auto"/>
        <w:jc w:val="both"/>
        <w:rPr>
          <w:rFonts w:ascii="Arial" w:eastAsia="Arial" w:hAnsi="Arial" w:cs="Arial"/>
          <w:color w:val="010000"/>
          <w:sz w:val="20"/>
          <w:szCs w:val="20"/>
        </w:rPr>
      </w:pPr>
      <w:r w:rsidRPr="00D55455">
        <w:rPr>
          <w:rFonts w:ascii="Arial" w:hAnsi="Arial" w:cs="Arial"/>
          <w:color w:val="010000"/>
          <w:sz w:val="20"/>
        </w:rPr>
        <w:t>Revenue: VND 1,477 billion;</w:t>
      </w:r>
    </w:p>
    <w:p w14:paraId="3A7A94F9" w14:textId="77777777" w:rsidR="00642CBA" w:rsidRPr="00D55455" w:rsidRDefault="00C8250D" w:rsidP="00AC7165">
      <w:pPr>
        <w:numPr>
          <w:ilvl w:val="0"/>
          <w:numId w:val="4"/>
        </w:numPr>
        <w:pBdr>
          <w:top w:val="nil"/>
          <w:left w:val="nil"/>
          <w:bottom w:val="nil"/>
          <w:right w:val="nil"/>
          <w:between w:val="nil"/>
        </w:pBdr>
        <w:tabs>
          <w:tab w:val="left" w:pos="432"/>
          <w:tab w:val="left" w:pos="1630"/>
          <w:tab w:val="left" w:pos="4142"/>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Profit before tax: VND 03 billion;</w:t>
      </w:r>
    </w:p>
    <w:p w14:paraId="0BB1F5B8" w14:textId="77777777" w:rsidR="00642CBA" w:rsidRPr="00D55455" w:rsidRDefault="00C8250D" w:rsidP="00AC7165">
      <w:pPr>
        <w:numPr>
          <w:ilvl w:val="0"/>
          <w:numId w:val="4"/>
        </w:numPr>
        <w:pBdr>
          <w:top w:val="nil"/>
          <w:left w:val="nil"/>
          <w:bottom w:val="nil"/>
          <w:right w:val="nil"/>
          <w:between w:val="nil"/>
        </w:pBdr>
        <w:tabs>
          <w:tab w:val="left" w:pos="432"/>
          <w:tab w:val="left" w:pos="1630"/>
          <w:tab w:val="left" w:pos="4142"/>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Profit after tax: VND 2.4 billion;</w:t>
      </w:r>
    </w:p>
    <w:p w14:paraId="452C3E7A" w14:textId="77777777" w:rsidR="00642CBA" w:rsidRPr="00D55455" w:rsidRDefault="00C8250D" w:rsidP="00AC7165">
      <w:pPr>
        <w:numPr>
          <w:ilvl w:val="0"/>
          <w:numId w:val="4"/>
        </w:numPr>
        <w:pBdr>
          <w:top w:val="nil"/>
          <w:left w:val="nil"/>
          <w:bottom w:val="nil"/>
          <w:right w:val="nil"/>
          <w:between w:val="nil"/>
        </w:pBdr>
        <w:tabs>
          <w:tab w:val="left" w:pos="432"/>
          <w:tab w:val="left" w:pos="1630"/>
          <w:tab w:val="left" w:pos="4142"/>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Profit after tax/Charter capital 1.35%</w:t>
      </w:r>
    </w:p>
    <w:p w14:paraId="4D65B5B9" w14:textId="7DEA649C" w:rsidR="00642CBA" w:rsidRPr="00D55455" w:rsidRDefault="00C8250D" w:rsidP="00AC7165">
      <w:pPr>
        <w:numPr>
          <w:ilvl w:val="0"/>
          <w:numId w:val="4"/>
        </w:numPr>
        <w:pBdr>
          <w:top w:val="nil"/>
          <w:left w:val="nil"/>
          <w:bottom w:val="nil"/>
          <w:right w:val="nil"/>
          <w:between w:val="nil"/>
        </w:pBdr>
        <w:tabs>
          <w:tab w:val="left" w:pos="432"/>
          <w:tab w:val="left" w:pos="1634"/>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Profit after tax/Total assets: 6.60%</w:t>
      </w:r>
    </w:p>
    <w:p w14:paraId="51F94728" w14:textId="77777777" w:rsidR="00642CBA" w:rsidRPr="00D55455" w:rsidRDefault="00C8250D" w:rsidP="00AC7165">
      <w:pPr>
        <w:numPr>
          <w:ilvl w:val="0"/>
          <w:numId w:val="4"/>
        </w:numPr>
        <w:pBdr>
          <w:top w:val="nil"/>
          <w:left w:val="nil"/>
          <w:bottom w:val="nil"/>
          <w:right w:val="nil"/>
          <w:between w:val="nil"/>
        </w:pBdr>
        <w:tabs>
          <w:tab w:val="left" w:pos="432"/>
          <w:tab w:val="left" w:pos="1634"/>
        </w:tabs>
        <w:spacing w:after="120" w:line="360" w:lineRule="auto"/>
        <w:jc w:val="both"/>
        <w:rPr>
          <w:rFonts w:ascii="Arial" w:eastAsia="Arial" w:hAnsi="Arial" w:cs="Arial"/>
          <w:color w:val="010000"/>
          <w:sz w:val="20"/>
          <w:szCs w:val="20"/>
        </w:rPr>
      </w:pPr>
      <w:r w:rsidRPr="00D55455">
        <w:rPr>
          <w:rFonts w:ascii="Arial" w:hAnsi="Arial" w:cs="Arial"/>
          <w:color w:val="010000"/>
          <w:sz w:val="20"/>
        </w:rPr>
        <w:t>Expected dividend payment in cash: 0%</w:t>
      </w:r>
    </w:p>
    <w:p w14:paraId="632BB846" w14:textId="77777777" w:rsidR="00642CBA" w:rsidRPr="00D55455" w:rsidRDefault="00C8250D" w:rsidP="00AC7165">
      <w:pPr>
        <w:numPr>
          <w:ilvl w:val="1"/>
          <w:numId w:val="3"/>
        </w:numPr>
        <w:pBdr>
          <w:top w:val="nil"/>
          <w:left w:val="nil"/>
          <w:bottom w:val="nil"/>
          <w:right w:val="nil"/>
          <w:between w:val="nil"/>
        </w:pBdr>
        <w:tabs>
          <w:tab w:val="left" w:pos="720"/>
          <w:tab w:val="left" w:pos="1634"/>
        </w:tabs>
        <w:spacing w:after="120" w:line="360" w:lineRule="auto"/>
        <w:ind w:left="0" w:firstLine="0"/>
        <w:jc w:val="both"/>
        <w:rPr>
          <w:rFonts w:ascii="Arial" w:eastAsia="Arial" w:hAnsi="Arial" w:cs="Arial"/>
          <w:color w:val="010000"/>
          <w:sz w:val="20"/>
          <w:szCs w:val="20"/>
        </w:rPr>
      </w:pPr>
      <w:r w:rsidRPr="00D55455">
        <w:rPr>
          <w:rFonts w:ascii="Arial" w:hAnsi="Arial" w:cs="Arial"/>
          <w:color w:val="010000"/>
          <w:sz w:val="20"/>
        </w:rPr>
        <w:lastRenderedPageBreak/>
        <w:t>Plan for investment, development, procurement and upgrading of fixed assets in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5115"/>
        <w:gridCol w:w="1028"/>
        <w:gridCol w:w="1111"/>
        <w:gridCol w:w="1106"/>
      </w:tblGrid>
      <w:tr w:rsidR="00642CBA" w:rsidRPr="00D55455" w14:paraId="07CB979F" w14:textId="77777777" w:rsidTr="00C8250D">
        <w:tc>
          <w:tcPr>
            <w:tcW w:w="380" w:type="pct"/>
            <w:shd w:val="clear" w:color="auto" w:fill="auto"/>
            <w:tcMar>
              <w:top w:w="0" w:type="dxa"/>
              <w:bottom w:w="0" w:type="dxa"/>
            </w:tcMar>
            <w:vAlign w:val="center"/>
          </w:tcPr>
          <w:p w14:paraId="1F49411B"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No.</w:t>
            </w:r>
          </w:p>
        </w:tc>
        <w:tc>
          <w:tcPr>
            <w:tcW w:w="2827" w:type="pct"/>
            <w:shd w:val="clear" w:color="auto" w:fill="auto"/>
            <w:tcMar>
              <w:top w:w="0" w:type="dxa"/>
              <w:bottom w:w="0" w:type="dxa"/>
            </w:tcMar>
            <w:vAlign w:val="center"/>
          </w:tcPr>
          <w:p w14:paraId="58535CF5"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Project name, equipment, vehicles</w:t>
            </w:r>
          </w:p>
        </w:tc>
        <w:tc>
          <w:tcPr>
            <w:tcW w:w="568" w:type="pct"/>
            <w:shd w:val="clear" w:color="auto" w:fill="auto"/>
            <w:tcMar>
              <w:top w:w="0" w:type="dxa"/>
              <w:bottom w:w="0" w:type="dxa"/>
            </w:tcMar>
            <w:vAlign w:val="center"/>
          </w:tcPr>
          <w:p w14:paraId="11220D08"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Unit</w:t>
            </w:r>
          </w:p>
        </w:tc>
        <w:tc>
          <w:tcPr>
            <w:tcW w:w="614" w:type="pct"/>
            <w:shd w:val="clear" w:color="auto" w:fill="auto"/>
            <w:tcMar>
              <w:top w:w="0" w:type="dxa"/>
              <w:bottom w:w="0" w:type="dxa"/>
            </w:tcMar>
            <w:vAlign w:val="center"/>
          </w:tcPr>
          <w:p w14:paraId="625AA034"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Plan</w:t>
            </w:r>
          </w:p>
        </w:tc>
        <w:tc>
          <w:tcPr>
            <w:tcW w:w="611" w:type="pct"/>
            <w:shd w:val="clear" w:color="auto" w:fill="auto"/>
            <w:tcMar>
              <w:top w:w="0" w:type="dxa"/>
              <w:bottom w:w="0" w:type="dxa"/>
            </w:tcMar>
            <w:vAlign w:val="center"/>
          </w:tcPr>
          <w:p w14:paraId="49C0E2DA"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Note</w:t>
            </w:r>
          </w:p>
        </w:tc>
      </w:tr>
      <w:tr w:rsidR="00642CBA" w:rsidRPr="00D55455" w14:paraId="00D9FABA" w14:textId="77777777" w:rsidTr="00C8250D">
        <w:tc>
          <w:tcPr>
            <w:tcW w:w="380" w:type="pct"/>
            <w:shd w:val="clear" w:color="auto" w:fill="auto"/>
            <w:tcMar>
              <w:top w:w="0" w:type="dxa"/>
              <w:bottom w:w="0" w:type="dxa"/>
            </w:tcMar>
            <w:vAlign w:val="center"/>
          </w:tcPr>
          <w:p w14:paraId="28845ABF"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I</w:t>
            </w:r>
          </w:p>
        </w:tc>
        <w:tc>
          <w:tcPr>
            <w:tcW w:w="2827" w:type="pct"/>
            <w:shd w:val="clear" w:color="auto" w:fill="auto"/>
            <w:tcMar>
              <w:top w:w="0" w:type="dxa"/>
              <w:bottom w:w="0" w:type="dxa"/>
            </w:tcMar>
            <w:vAlign w:val="center"/>
          </w:tcPr>
          <w:p w14:paraId="789A1CC3"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Development Investment project</w:t>
            </w:r>
          </w:p>
        </w:tc>
        <w:tc>
          <w:tcPr>
            <w:tcW w:w="568" w:type="pct"/>
            <w:shd w:val="clear" w:color="auto" w:fill="auto"/>
            <w:tcMar>
              <w:top w:w="0" w:type="dxa"/>
              <w:bottom w:w="0" w:type="dxa"/>
            </w:tcMar>
            <w:vAlign w:val="center"/>
          </w:tcPr>
          <w:p w14:paraId="4B4E5AB4"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Million VND</w:t>
            </w:r>
          </w:p>
        </w:tc>
        <w:tc>
          <w:tcPr>
            <w:tcW w:w="614" w:type="pct"/>
            <w:shd w:val="clear" w:color="auto" w:fill="auto"/>
            <w:tcMar>
              <w:top w:w="0" w:type="dxa"/>
              <w:bottom w:w="0" w:type="dxa"/>
            </w:tcMar>
            <w:vAlign w:val="center"/>
          </w:tcPr>
          <w:p w14:paraId="17FA7A98"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450,000</w:t>
            </w:r>
          </w:p>
        </w:tc>
        <w:tc>
          <w:tcPr>
            <w:tcW w:w="611" w:type="pct"/>
            <w:shd w:val="clear" w:color="auto" w:fill="auto"/>
            <w:tcMar>
              <w:top w:w="0" w:type="dxa"/>
              <w:bottom w:w="0" w:type="dxa"/>
            </w:tcMar>
            <w:vAlign w:val="center"/>
          </w:tcPr>
          <w:p w14:paraId="7F3DCC77" w14:textId="77777777" w:rsidR="00642CBA" w:rsidRPr="00D55455" w:rsidRDefault="00642CBA" w:rsidP="00AC7165">
            <w:pPr>
              <w:tabs>
                <w:tab w:val="left" w:pos="432"/>
              </w:tabs>
              <w:spacing w:after="120" w:line="360" w:lineRule="auto"/>
              <w:jc w:val="both"/>
              <w:rPr>
                <w:rFonts w:ascii="Arial" w:eastAsia="Arial" w:hAnsi="Arial" w:cs="Arial"/>
                <w:color w:val="010000"/>
                <w:sz w:val="20"/>
                <w:szCs w:val="20"/>
              </w:rPr>
            </w:pPr>
          </w:p>
        </w:tc>
      </w:tr>
      <w:tr w:rsidR="00642CBA" w:rsidRPr="00D55455" w14:paraId="1700112C" w14:textId="77777777" w:rsidTr="00C8250D">
        <w:tc>
          <w:tcPr>
            <w:tcW w:w="380" w:type="pct"/>
            <w:shd w:val="clear" w:color="auto" w:fill="auto"/>
            <w:tcMar>
              <w:top w:w="0" w:type="dxa"/>
              <w:bottom w:w="0" w:type="dxa"/>
            </w:tcMar>
            <w:vAlign w:val="center"/>
          </w:tcPr>
          <w:p w14:paraId="45747109" w14:textId="77777777" w:rsidR="00642CBA" w:rsidRPr="00F378E8"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F378E8">
              <w:rPr>
                <w:rFonts w:ascii="Arial" w:hAnsi="Arial" w:cs="Arial"/>
                <w:i/>
                <w:color w:val="010000"/>
                <w:sz w:val="20"/>
              </w:rPr>
              <w:t>1</w:t>
            </w:r>
          </w:p>
        </w:tc>
        <w:tc>
          <w:tcPr>
            <w:tcW w:w="2827" w:type="pct"/>
            <w:shd w:val="clear" w:color="auto" w:fill="auto"/>
            <w:tcMar>
              <w:top w:w="0" w:type="dxa"/>
              <w:bottom w:w="0" w:type="dxa"/>
            </w:tcMar>
            <w:vAlign w:val="center"/>
          </w:tcPr>
          <w:p w14:paraId="1F213A58" w14:textId="77777777" w:rsidR="00642CBA" w:rsidRPr="00F378E8"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F378E8">
              <w:rPr>
                <w:rFonts w:ascii="Arial" w:hAnsi="Arial" w:cs="Arial"/>
                <w:i/>
                <w:color w:val="010000"/>
                <w:sz w:val="20"/>
              </w:rPr>
              <w:t>Investment in construction rolled steel production - Additional steel billet refining process of 150,000 tons/year</w:t>
            </w:r>
          </w:p>
        </w:tc>
        <w:tc>
          <w:tcPr>
            <w:tcW w:w="568" w:type="pct"/>
            <w:shd w:val="clear" w:color="auto" w:fill="auto"/>
            <w:tcMar>
              <w:top w:w="0" w:type="dxa"/>
              <w:bottom w:w="0" w:type="dxa"/>
            </w:tcMar>
            <w:vAlign w:val="center"/>
          </w:tcPr>
          <w:p w14:paraId="58C7F944" w14:textId="77777777" w:rsidR="00642CBA" w:rsidRPr="00F378E8"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F378E8">
              <w:rPr>
                <w:rFonts w:ascii="Arial" w:hAnsi="Arial" w:cs="Arial"/>
                <w:i/>
                <w:color w:val="010000"/>
                <w:sz w:val="20"/>
              </w:rPr>
              <w:t>Million VND</w:t>
            </w:r>
          </w:p>
        </w:tc>
        <w:tc>
          <w:tcPr>
            <w:tcW w:w="614" w:type="pct"/>
            <w:shd w:val="clear" w:color="auto" w:fill="auto"/>
            <w:tcMar>
              <w:top w:w="0" w:type="dxa"/>
              <w:bottom w:w="0" w:type="dxa"/>
            </w:tcMar>
            <w:vAlign w:val="center"/>
          </w:tcPr>
          <w:p w14:paraId="0AB2817E" w14:textId="77777777" w:rsidR="00642CBA" w:rsidRPr="00F378E8"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F378E8">
              <w:rPr>
                <w:rFonts w:ascii="Arial" w:hAnsi="Arial" w:cs="Arial"/>
                <w:i/>
                <w:color w:val="010000"/>
                <w:sz w:val="20"/>
              </w:rPr>
              <w:t>450,000</w:t>
            </w:r>
          </w:p>
        </w:tc>
        <w:tc>
          <w:tcPr>
            <w:tcW w:w="611" w:type="pct"/>
            <w:shd w:val="clear" w:color="auto" w:fill="auto"/>
            <w:tcMar>
              <w:top w:w="0" w:type="dxa"/>
              <w:bottom w:w="0" w:type="dxa"/>
            </w:tcMar>
            <w:vAlign w:val="center"/>
          </w:tcPr>
          <w:p w14:paraId="7D1E85CD" w14:textId="77777777" w:rsidR="00642CBA" w:rsidRPr="00D55455" w:rsidRDefault="00642CBA" w:rsidP="00AC7165">
            <w:pPr>
              <w:tabs>
                <w:tab w:val="left" w:pos="432"/>
              </w:tabs>
              <w:spacing w:after="120" w:line="360" w:lineRule="auto"/>
              <w:jc w:val="both"/>
              <w:rPr>
                <w:rFonts w:ascii="Arial" w:eastAsia="Arial" w:hAnsi="Arial" w:cs="Arial"/>
                <w:color w:val="010000"/>
                <w:sz w:val="20"/>
                <w:szCs w:val="20"/>
              </w:rPr>
            </w:pPr>
          </w:p>
        </w:tc>
      </w:tr>
      <w:tr w:rsidR="00642CBA" w:rsidRPr="00D55455" w14:paraId="38AB7CE6" w14:textId="77777777" w:rsidTr="00C8250D">
        <w:tc>
          <w:tcPr>
            <w:tcW w:w="380" w:type="pct"/>
            <w:shd w:val="clear" w:color="auto" w:fill="auto"/>
            <w:tcMar>
              <w:top w:w="0" w:type="dxa"/>
              <w:bottom w:w="0" w:type="dxa"/>
            </w:tcMar>
            <w:vAlign w:val="center"/>
          </w:tcPr>
          <w:p w14:paraId="789F76A9"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II</w:t>
            </w:r>
          </w:p>
        </w:tc>
        <w:tc>
          <w:tcPr>
            <w:tcW w:w="2827" w:type="pct"/>
            <w:shd w:val="clear" w:color="auto" w:fill="auto"/>
            <w:tcMar>
              <w:top w:w="0" w:type="dxa"/>
              <w:bottom w:w="0" w:type="dxa"/>
            </w:tcMar>
            <w:vAlign w:val="center"/>
          </w:tcPr>
          <w:p w14:paraId="18981BA5"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Plan for purchasing and upgrading of fixed assets</w:t>
            </w:r>
          </w:p>
        </w:tc>
        <w:tc>
          <w:tcPr>
            <w:tcW w:w="568" w:type="pct"/>
            <w:shd w:val="clear" w:color="auto" w:fill="auto"/>
            <w:tcMar>
              <w:top w:w="0" w:type="dxa"/>
              <w:bottom w:w="0" w:type="dxa"/>
            </w:tcMar>
            <w:vAlign w:val="center"/>
          </w:tcPr>
          <w:p w14:paraId="1E69524C"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Million VND</w:t>
            </w:r>
          </w:p>
        </w:tc>
        <w:tc>
          <w:tcPr>
            <w:tcW w:w="614" w:type="pct"/>
            <w:shd w:val="clear" w:color="auto" w:fill="auto"/>
            <w:tcMar>
              <w:top w:w="0" w:type="dxa"/>
              <w:bottom w:w="0" w:type="dxa"/>
            </w:tcMar>
            <w:vAlign w:val="center"/>
          </w:tcPr>
          <w:p w14:paraId="498700C8"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4,100</w:t>
            </w:r>
          </w:p>
        </w:tc>
        <w:tc>
          <w:tcPr>
            <w:tcW w:w="611" w:type="pct"/>
            <w:shd w:val="clear" w:color="auto" w:fill="auto"/>
            <w:tcMar>
              <w:top w:w="0" w:type="dxa"/>
              <w:bottom w:w="0" w:type="dxa"/>
            </w:tcMar>
            <w:vAlign w:val="center"/>
          </w:tcPr>
          <w:p w14:paraId="5B35C3F5" w14:textId="77777777" w:rsidR="00642CBA" w:rsidRPr="00D55455" w:rsidRDefault="00642CBA" w:rsidP="00AC7165">
            <w:pPr>
              <w:tabs>
                <w:tab w:val="left" w:pos="432"/>
              </w:tabs>
              <w:spacing w:after="120" w:line="360" w:lineRule="auto"/>
              <w:jc w:val="both"/>
              <w:rPr>
                <w:rFonts w:ascii="Arial" w:eastAsia="Arial" w:hAnsi="Arial" w:cs="Arial"/>
                <w:color w:val="010000"/>
                <w:sz w:val="20"/>
                <w:szCs w:val="20"/>
              </w:rPr>
            </w:pPr>
          </w:p>
        </w:tc>
      </w:tr>
      <w:tr w:rsidR="00642CBA" w:rsidRPr="00D55455" w14:paraId="25EE97BE" w14:textId="77777777" w:rsidTr="00C8250D">
        <w:tc>
          <w:tcPr>
            <w:tcW w:w="380" w:type="pct"/>
            <w:shd w:val="clear" w:color="auto" w:fill="auto"/>
            <w:tcMar>
              <w:top w:w="0" w:type="dxa"/>
              <w:bottom w:w="0" w:type="dxa"/>
            </w:tcMar>
            <w:vAlign w:val="center"/>
          </w:tcPr>
          <w:p w14:paraId="25E356CD" w14:textId="77777777" w:rsidR="00642CBA" w:rsidRPr="00F378E8"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F378E8">
              <w:rPr>
                <w:rFonts w:ascii="Arial" w:hAnsi="Arial" w:cs="Arial"/>
                <w:i/>
                <w:color w:val="010000"/>
                <w:sz w:val="20"/>
              </w:rPr>
              <w:t>1</w:t>
            </w:r>
          </w:p>
        </w:tc>
        <w:tc>
          <w:tcPr>
            <w:tcW w:w="2827" w:type="pct"/>
            <w:shd w:val="clear" w:color="auto" w:fill="auto"/>
            <w:tcMar>
              <w:top w:w="0" w:type="dxa"/>
              <w:bottom w:w="0" w:type="dxa"/>
            </w:tcMar>
            <w:vAlign w:val="center"/>
          </w:tcPr>
          <w:p w14:paraId="1D85C8BF" w14:textId="77777777" w:rsidR="00642CBA" w:rsidRPr="00F378E8"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F378E8">
              <w:rPr>
                <w:rFonts w:ascii="Arial" w:hAnsi="Arial" w:cs="Arial"/>
                <w:i/>
                <w:color w:val="010000"/>
                <w:sz w:val="20"/>
              </w:rPr>
              <w:t>Steel bar separation counting assembly</w:t>
            </w:r>
          </w:p>
        </w:tc>
        <w:tc>
          <w:tcPr>
            <w:tcW w:w="568" w:type="pct"/>
            <w:shd w:val="clear" w:color="auto" w:fill="auto"/>
            <w:tcMar>
              <w:top w:w="0" w:type="dxa"/>
              <w:bottom w:w="0" w:type="dxa"/>
            </w:tcMar>
            <w:vAlign w:val="center"/>
          </w:tcPr>
          <w:p w14:paraId="30730BCC" w14:textId="77777777" w:rsidR="00642CBA" w:rsidRPr="00F378E8"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F378E8">
              <w:rPr>
                <w:rFonts w:ascii="Arial" w:hAnsi="Arial" w:cs="Arial"/>
                <w:i/>
                <w:color w:val="010000"/>
                <w:sz w:val="20"/>
              </w:rPr>
              <w:t>Million VND</w:t>
            </w:r>
          </w:p>
        </w:tc>
        <w:tc>
          <w:tcPr>
            <w:tcW w:w="614" w:type="pct"/>
            <w:shd w:val="clear" w:color="auto" w:fill="auto"/>
            <w:tcMar>
              <w:top w:w="0" w:type="dxa"/>
              <w:bottom w:w="0" w:type="dxa"/>
            </w:tcMar>
            <w:vAlign w:val="center"/>
          </w:tcPr>
          <w:p w14:paraId="489864BB" w14:textId="77777777" w:rsidR="00642CBA" w:rsidRPr="00F378E8"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F378E8">
              <w:rPr>
                <w:rFonts w:ascii="Arial" w:hAnsi="Arial" w:cs="Arial"/>
                <w:i/>
                <w:color w:val="010000"/>
                <w:sz w:val="20"/>
              </w:rPr>
              <w:t>2,500</w:t>
            </w:r>
          </w:p>
        </w:tc>
        <w:tc>
          <w:tcPr>
            <w:tcW w:w="611" w:type="pct"/>
            <w:shd w:val="clear" w:color="auto" w:fill="auto"/>
            <w:tcMar>
              <w:top w:w="0" w:type="dxa"/>
              <w:bottom w:w="0" w:type="dxa"/>
            </w:tcMar>
            <w:vAlign w:val="center"/>
          </w:tcPr>
          <w:p w14:paraId="195D28B0" w14:textId="77777777" w:rsidR="00642CBA" w:rsidRPr="00D55455" w:rsidRDefault="00642CBA" w:rsidP="00AC7165">
            <w:pPr>
              <w:tabs>
                <w:tab w:val="left" w:pos="432"/>
              </w:tabs>
              <w:spacing w:after="120" w:line="360" w:lineRule="auto"/>
              <w:jc w:val="both"/>
              <w:rPr>
                <w:rFonts w:ascii="Arial" w:eastAsia="Arial" w:hAnsi="Arial" w:cs="Arial"/>
                <w:color w:val="010000"/>
                <w:sz w:val="20"/>
                <w:szCs w:val="20"/>
              </w:rPr>
            </w:pPr>
          </w:p>
        </w:tc>
      </w:tr>
      <w:tr w:rsidR="00642CBA" w:rsidRPr="00D55455" w14:paraId="65854DC5" w14:textId="77777777" w:rsidTr="00C8250D">
        <w:tc>
          <w:tcPr>
            <w:tcW w:w="380" w:type="pct"/>
            <w:shd w:val="clear" w:color="auto" w:fill="auto"/>
            <w:tcMar>
              <w:top w:w="0" w:type="dxa"/>
              <w:bottom w:w="0" w:type="dxa"/>
            </w:tcMar>
            <w:vAlign w:val="center"/>
          </w:tcPr>
          <w:p w14:paraId="4D402984" w14:textId="77777777" w:rsidR="00642CBA" w:rsidRPr="00F378E8"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F378E8">
              <w:rPr>
                <w:rFonts w:ascii="Arial" w:hAnsi="Arial" w:cs="Arial"/>
                <w:i/>
                <w:color w:val="010000"/>
                <w:sz w:val="20"/>
              </w:rPr>
              <w:t>2</w:t>
            </w:r>
          </w:p>
        </w:tc>
        <w:tc>
          <w:tcPr>
            <w:tcW w:w="2827" w:type="pct"/>
            <w:shd w:val="clear" w:color="auto" w:fill="auto"/>
            <w:tcMar>
              <w:top w:w="0" w:type="dxa"/>
              <w:bottom w:w="0" w:type="dxa"/>
            </w:tcMar>
            <w:vAlign w:val="center"/>
          </w:tcPr>
          <w:p w14:paraId="31859076" w14:textId="68EEB125" w:rsidR="00642CBA" w:rsidRPr="00F378E8"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F378E8">
              <w:rPr>
                <w:rFonts w:ascii="Arial" w:hAnsi="Arial" w:cs="Arial"/>
                <w:i/>
                <w:color w:val="010000"/>
                <w:sz w:val="20"/>
              </w:rPr>
              <w:t>5</w:t>
            </w:r>
            <w:r w:rsidR="00D55455" w:rsidRPr="00F378E8">
              <w:rPr>
                <w:rFonts w:ascii="Arial" w:hAnsi="Arial" w:cs="Arial"/>
                <w:i/>
                <w:color w:val="010000"/>
                <w:sz w:val="20"/>
              </w:rPr>
              <w:t>-seat</w:t>
            </w:r>
            <w:r w:rsidRPr="00F378E8">
              <w:rPr>
                <w:rFonts w:ascii="Arial" w:hAnsi="Arial" w:cs="Arial"/>
                <w:i/>
                <w:color w:val="010000"/>
                <w:sz w:val="20"/>
              </w:rPr>
              <w:t xml:space="preserve"> automobile</w:t>
            </w:r>
          </w:p>
        </w:tc>
        <w:tc>
          <w:tcPr>
            <w:tcW w:w="568" w:type="pct"/>
            <w:shd w:val="clear" w:color="auto" w:fill="auto"/>
            <w:tcMar>
              <w:top w:w="0" w:type="dxa"/>
              <w:bottom w:w="0" w:type="dxa"/>
            </w:tcMar>
            <w:vAlign w:val="center"/>
          </w:tcPr>
          <w:p w14:paraId="6C03BABC" w14:textId="77777777" w:rsidR="00642CBA" w:rsidRPr="00F378E8"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F378E8">
              <w:rPr>
                <w:rFonts w:ascii="Arial" w:hAnsi="Arial" w:cs="Arial"/>
                <w:i/>
                <w:color w:val="010000"/>
                <w:sz w:val="20"/>
              </w:rPr>
              <w:t>Million VND</w:t>
            </w:r>
          </w:p>
        </w:tc>
        <w:tc>
          <w:tcPr>
            <w:tcW w:w="614" w:type="pct"/>
            <w:shd w:val="clear" w:color="auto" w:fill="auto"/>
            <w:tcMar>
              <w:top w:w="0" w:type="dxa"/>
              <w:bottom w:w="0" w:type="dxa"/>
            </w:tcMar>
            <w:vAlign w:val="center"/>
          </w:tcPr>
          <w:p w14:paraId="661F9D27" w14:textId="77777777" w:rsidR="00642CBA" w:rsidRPr="00F378E8"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F378E8">
              <w:rPr>
                <w:rFonts w:ascii="Arial" w:hAnsi="Arial" w:cs="Arial"/>
                <w:i/>
                <w:color w:val="010000"/>
                <w:sz w:val="20"/>
              </w:rPr>
              <w:t>1,600</w:t>
            </w:r>
          </w:p>
        </w:tc>
        <w:tc>
          <w:tcPr>
            <w:tcW w:w="611" w:type="pct"/>
            <w:shd w:val="clear" w:color="auto" w:fill="auto"/>
            <w:tcMar>
              <w:top w:w="0" w:type="dxa"/>
              <w:bottom w:w="0" w:type="dxa"/>
            </w:tcMar>
            <w:vAlign w:val="center"/>
          </w:tcPr>
          <w:p w14:paraId="65DCDFDF" w14:textId="77777777" w:rsidR="00642CBA" w:rsidRPr="00D55455" w:rsidRDefault="00642CBA" w:rsidP="00AC7165">
            <w:pPr>
              <w:tabs>
                <w:tab w:val="left" w:pos="432"/>
              </w:tabs>
              <w:spacing w:after="120" w:line="360" w:lineRule="auto"/>
              <w:jc w:val="both"/>
              <w:rPr>
                <w:rFonts w:ascii="Arial" w:eastAsia="Arial" w:hAnsi="Arial" w:cs="Arial"/>
                <w:color w:val="010000"/>
                <w:sz w:val="20"/>
                <w:szCs w:val="20"/>
              </w:rPr>
            </w:pPr>
          </w:p>
        </w:tc>
      </w:tr>
      <w:tr w:rsidR="00642CBA" w:rsidRPr="00D55455" w14:paraId="423E376F" w14:textId="77777777" w:rsidTr="00C8250D">
        <w:tc>
          <w:tcPr>
            <w:tcW w:w="3207" w:type="pct"/>
            <w:gridSpan w:val="2"/>
            <w:shd w:val="clear" w:color="auto" w:fill="auto"/>
            <w:tcMar>
              <w:top w:w="0" w:type="dxa"/>
              <w:bottom w:w="0" w:type="dxa"/>
            </w:tcMar>
            <w:vAlign w:val="center"/>
          </w:tcPr>
          <w:p w14:paraId="46055DA6"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Total</w:t>
            </w:r>
            <w:bookmarkStart w:id="0" w:name="_GoBack"/>
            <w:bookmarkEnd w:id="0"/>
          </w:p>
        </w:tc>
        <w:tc>
          <w:tcPr>
            <w:tcW w:w="568" w:type="pct"/>
            <w:shd w:val="clear" w:color="auto" w:fill="auto"/>
            <w:tcMar>
              <w:top w:w="0" w:type="dxa"/>
              <w:bottom w:w="0" w:type="dxa"/>
            </w:tcMar>
            <w:vAlign w:val="center"/>
          </w:tcPr>
          <w:p w14:paraId="56E69666"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Million VND</w:t>
            </w:r>
          </w:p>
        </w:tc>
        <w:tc>
          <w:tcPr>
            <w:tcW w:w="614" w:type="pct"/>
            <w:shd w:val="clear" w:color="auto" w:fill="auto"/>
            <w:tcMar>
              <w:top w:w="0" w:type="dxa"/>
              <w:bottom w:w="0" w:type="dxa"/>
            </w:tcMar>
            <w:vAlign w:val="center"/>
          </w:tcPr>
          <w:p w14:paraId="6724B2E0" w14:textId="77777777" w:rsidR="00642CBA" w:rsidRPr="00D55455" w:rsidRDefault="00C8250D" w:rsidP="00F378E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55455">
              <w:rPr>
                <w:rFonts w:ascii="Arial" w:hAnsi="Arial" w:cs="Arial"/>
                <w:color w:val="010000"/>
                <w:sz w:val="20"/>
              </w:rPr>
              <w:t>454,100</w:t>
            </w:r>
          </w:p>
        </w:tc>
        <w:tc>
          <w:tcPr>
            <w:tcW w:w="611" w:type="pct"/>
            <w:shd w:val="clear" w:color="auto" w:fill="auto"/>
            <w:tcMar>
              <w:top w:w="0" w:type="dxa"/>
              <w:bottom w:w="0" w:type="dxa"/>
            </w:tcMar>
            <w:vAlign w:val="center"/>
          </w:tcPr>
          <w:p w14:paraId="05EF23D4" w14:textId="77777777" w:rsidR="00642CBA" w:rsidRPr="00D55455" w:rsidRDefault="00642CBA" w:rsidP="00AC7165">
            <w:pPr>
              <w:tabs>
                <w:tab w:val="left" w:pos="432"/>
              </w:tabs>
              <w:spacing w:after="120" w:line="360" w:lineRule="auto"/>
              <w:jc w:val="both"/>
              <w:rPr>
                <w:rFonts w:ascii="Arial" w:eastAsia="Arial" w:hAnsi="Arial" w:cs="Arial"/>
                <w:color w:val="010000"/>
                <w:sz w:val="20"/>
                <w:szCs w:val="20"/>
              </w:rPr>
            </w:pPr>
          </w:p>
        </w:tc>
      </w:tr>
    </w:tbl>
    <w:p w14:paraId="67E178BC"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Total investment in development, procurement and upgrading of fixed assets: VND 454.1 billion;</w:t>
      </w:r>
    </w:p>
    <w:p w14:paraId="4FE1B537"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For the investment project of construction rolled steel production - Additional steel billet refining stage of 150,000 tons/year: Authorize the Board of Directors to approve the feasibility study report and decisions within its authority during the implementation of the Project after fully meeting the conditions according to regulations on investment management.</w:t>
      </w:r>
    </w:p>
    <w:p w14:paraId="20F1CE8E"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7.</w:t>
      </w:r>
      <w:proofErr w:type="gramEnd"/>
      <w:r w:rsidRPr="00D55455">
        <w:rPr>
          <w:rFonts w:ascii="Arial" w:hAnsi="Arial" w:cs="Arial"/>
          <w:color w:val="010000"/>
          <w:sz w:val="20"/>
        </w:rPr>
        <w:t xml:space="preserve"> Approve a few other contents.</w:t>
      </w:r>
    </w:p>
    <w:p w14:paraId="778DF3AD" w14:textId="5AB43978" w:rsidR="00642CBA" w:rsidRPr="00D55455" w:rsidRDefault="00C8250D" w:rsidP="00AC7165">
      <w:pPr>
        <w:numPr>
          <w:ilvl w:val="0"/>
          <w:numId w:val="1"/>
        </w:numPr>
        <w:pBdr>
          <w:top w:val="nil"/>
          <w:left w:val="nil"/>
          <w:bottom w:val="nil"/>
          <w:right w:val="nil"/>
          <w:between w:val="nil"/>
        </w:pBdr>
        <w:tabs>
          <w:tab w:val="left" w:pos="432"/>
          <w:tab w:val="left" w:pos="1828"/>
        </w:tabs>
        <w:spacing w:after="120" w:line="360" w:lineRule="auto"/>
        <w:jc w:val="both"/>
        <w:rPr>
          <w:rFonts w:ascii="Arial" w:eastAsia="Arial" w:hAnsi="Arial" w:cs="Arial"/>
          <w:color w:val="010000"/>
          <w:sz w:val="20"/>
          <w:szCs w:val="20"/>
        </w:rPr>
      </w:pPr>
      <w:r w:rsidRPr="00D55455">
        <w:rPr>
          <w:rFonts w:ascii="Arial" w:hAnsi="Arial" w:cs="Arial"/>
          <w:color w:val="010000"/>
          <w:sz w:val="20"/>
        </w:rPr>
        <w:t>Proposal authorizing the Board of Directors to approve purchase and sale contracts with related companies.</w:t>
      </w:r>
    </w:p>
    <w:p w14:paraId="1BCA28BD" w14:textId="5D743BD2"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 xml:space="preserve">Sales contracts with contract value (including outstanding unsecured debt) equal to or greater than 35% of the company's total asset value recorded in the most recent </w:t>
      </w:r>
      <w:r w:rsidR="00D55455" w:rsidRPr="00D55455">
        <w:rPr>
          <w:rFonts w:ascii="Arial" w:hAnsi="Arial" w:cs="Arial"/>
          <w:color w:val="010000"/>
          <w:sz w:val="20"/>
        </w:rPr>
        <w:t>Financial Statements</w:t>
      </w:r>
      <w:r w:rsidRPr="00D55455">
        <w:rPr>
          <w:rFonts w:ascii="Arial" w:hAnsi="Arial" w:cs="Arial"/>
          <w:color w:val="010000"/>
          <w:sz w:val="20"/>
        </w:rPr>
        <w:t xml:space="preserve"> and sales contracts with related companies: </w:t>
      </w:r>
      <w:r w:rsidR="00D55455" w:rsidRPr="00D55455">
        <w:rPr>
          <w:rFonts w:ascii="Arial" w:hAnsi="Arial" w:cs="Arial"/>
          <w:color w:val="010000"/>
          <w:sz w:val="20"/>
        </w:rPr>
        <w:t>Southern Steel Company Limited</w:t>
      </w:r>
      <w:r w:rsidRPr="00D55455">
        <w:rPr>
          <w:rFonts w:ascii="Arial" w:hAnsi="Arial" w:cs="Arial"/>
          <w:color w:val="010000"/>
          <w:sz w:val="20"/>
        </w:rPr>
        <w:t xml:space="preserve">, </w:t>
      </w:r>
      <w:proofErr w:type="spellStart"/>
      <w:r w:rsidRPr="00D55455">
        <w:rPr>
          <w:rFonts w:ascii="Arial" w:hAnsi="Arial" w:cs="Arial"/>
          <w:color w:val="010000"/>
          <w:sz w:val="20"/>
        </w:rPr>
        <w:t>VnSteel</w:t>
      </w:r>
      <w:proofErr w:type="spellEnd"/>
      <w:r w:rsidRPr="00D55455">
        <w:rPr>
          <w:rFonts w:ascii="Arial" w:hAnsi="Arial" w:cs="Arial"/>
          <w:color w:val="010000"/>
          <w:sz w:val="20"/>
        </w:rPr>
        <w:t xml:space="preserve"> - </w:t>
      </w:r>
      <w:proofErr w:type="spellStart"/>
      <w:r w:rsidRPr="00D55455">
        <w:rPr>
          <w:rFonts w:ascii="Arial" w:hAnsi="Arial" w:cs="Arial"/>
          <w:color w:val="010000"/>
          <w:sz w:val="20"/>
        </w:rPr>
        <w:t>Vicasa</w:t>
      </w:r>
      <w:proofErr w:type="spellEnd"/>
      <w:r w:rsidRPr="00D55455">
        <w:rPr>
          <w:rFonts w:ascii="Arial" w:hAnsi="Arial" w:cs="Arial"/>
          <w:color w:val="010000"/>
          <w:sz w:val="20"/>
        </w:rPr>
        <w:t xml:space="preserve"> Joint Stock Company</w:t>
      </w:r>
      <w:r w:rsidR="00D55455" w:rsidRPr="00D55455">
        <w:rPr>
          <w:rFonts w:ascii="Arial" w:hAnsi="Arial" w:cs="Arial"/>
          <w:color w:val="010000"/>
          <w:sz w:val="20"/>
        </w:rPr>
        <w:t>,</w:t>
      </w:r>
      <w:r w:rsidRPr="00D55455">
        <w:rPr>
          <w:rFonts w:ascii="Arial" w:hAnsi="Arial" w:cs="Arial"/>
          <w:color w:val="010000"/>
          <w:sz w:val="20"/>
        </w:rPr>
        <w:t xml:space="preserve"> VNSTEEL - Thu Duc Steel JSC, </w:t>
      </w:r>
      <w:proofErr w:type="spellStart"/>
      <w:r w:rsidR="00D55455" w:rsidRPr="00D55455">
        <w:rPr>
          <w:rFonts w:ascii="Arial" w:hAnsi="Arial" w:cs="Arial"/>
          <w:color w:val="010000"/>
          <w:sz w:val="20"/>
        </w:rPr>
        <w:t>Vnsteel</w:t>
      </w:r>
      <w:proofErr w:type="spellEnd"/>
      <w:r w:rsidR="00D55455" w:rsidRPr="00D55455">
        <w:rPr>
          <w:rFonts w:ascii="Arial" w:hAnsi="Arial" w:cs="Arial"/>
          <w:color w:val="010000"/>
          <w:sz w:val="20"/>
        </w:rPr>
        <w:t xml:space="preserve"> - </w:t>
      </w:r>
      <w:proofErr w:type="spellStart"/>
      <w:r w:rsidR="00D55455" w:rsidRPr="00D55455">
        <w:rPr>
          <w:rFonts w:ascii="Arial" w:hAnsi="Arial" w:cs="Arial"/>
          <w:color w:val="010000"/>
          <w:sz w:val="20"/>
        </w:rPr>
        <w:t>Hochiminh</w:t>
      </w:r>
      <w:proofErr w:type="spellEnd"/>
      <w:r w:rsidR="00D55455" w:rsidRPr="00D55455">
        <w:rPr>
          <w:rFonts w:ascii="Arial" w:hAnsi="Arial" w:cs="Arial"/>
          <w:color w:val="010000"/>
          <w:sz w:val="20"/>
        </w:rPr>
        <w:t xml:space="preserve"> City Metal Corporation</w:t>
      </w:r>
      <w:r w:rsidRPr="00D55455">
        <w:rPr>
          <w:rFonts w:ascii="Arial" w:hAnsi="Arial" w:cs="Arial"/>
          <w:color w:val="010000"/>
          <w:sz w:val="20"/>
        </w:rPr>
        <w:t>, Central Vietnam Metal Corporation.</w:t>
      </w:r>
    </w:p>
    <w:p w14:paraId="35899BEC" w14:textId="463F5D18" w:rsidR="00642CBA" w:rsidRPr="00D55455" w:rsidRDefault="00C8250D" w:rsidP="00AC7165">
      <w:pPr>
        <w:numPr>
          <w:ilvl w:val="0"/>
          <w:numId w:val="1"/>
        </w:numPr>
        <w:pBdr>
          <w:top w:val="nil"/>
          <w:left w:val="nil"/>
          <w:bottom w:val="nil"/>
          <w:right w:val="nil"/>
          <w:between w:val="nil"/>
        </w:pBdr>
        <w:tabs>
          <w:tab w:val="left" w:pos="432"/>
          <w:tab w:val="left" w:pos="1892"/>
        </w:tabs>
        <w:spacing w:after="120" w:line="360" w:lineRule="auto"/>
        <w:jc w:val="both"/>
        <w:rPr>
          <w:rFonts w:ascii="Arial" w:eastAsia="Arial" w:hAnsi="Arial" w:cs="Arial"/>
          <w:color w:val="010000"/>
          <w:sz w:val="20"/>
          <w:szCs w:val="20"/>
        </w:rPr>
      </w:pPr>
      <w:r w:rsidRPr="00D55455">
        <w:rPr>
          <w:rFonts w:ascii="Arial" w:hAnsi="Arial" w:cs="Arial"/>
          <w:color w:val="010000"/>
          <w:sz w:val="20"/>
        </w:rPr>
        <w:t>Authorization proposal for the Board of Directors to approve the sales credit limit</w:t>
      </w:r>
    </w:p>
    <w:p w14:paraId="7B2F8E96" w14:textId="0D0F1EF3"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 xml:space="preserve">Sales credit limit: VND 150 billion for </w:t>
      </w:r>
      <w:r w:rsidR="00D55455" w:rsidRPr="00D55455">
        <w:rPr>
          <w:rFonts w:ascii="Arial" w:hAnsi="Arial" w:cs="Arial"/>
          <w:color w:val="010000"/>
          <w:sz w:val="20"/>
        </w:rPr>
        <w:t>Southern Steel Company Limited</w:t>
      </w:r>
    </w:p>
    <w:p w14:paraId="6A7E193C" w14:textId="355E27EF"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8.</w:t>
      </w:r>
      <w:proofErr w:type="gramEnd"/>
      <w:r w:rsidRPr="00D55455">
        <w:rPr>
          <w:rFonts w:ascii="Arial" w:hAnsi="Arial" w:cs="Arial"/>
          <w:color w:val="010000"/>
          <w:sz w:val="20"/>
        </w:rPr>
        <w:t xml:space="preserve"> Approve the Proposal on selecting an independent auditing company in 2024, the meeting agreed to authorize the Board of Directors to consider and select one of the independent auditing companies in the list of audit </w:t>
      </w:r>
      <w:r w:rsidR="00D55455" w:rsidRPr="00D55455">
        <w:rPr>
          <w:rFonts w:ascii="Arial" w:hAnsi="Arial" w:cs="Arial"/>
          <w:color w:val="010000"/>
          <w:sz w:val="20"/>
        </w:rPr>
        <w:t>companies</w:t>
      </w:r>
      <w:r w:rsidRPr="00D55455">
        <w:rPr>
          <w:rFonts w:ascii="Arial" w:hAnsi="Arial" w:cs="Arial"/>
          <w:color w:val="010000"/>
          <w:sz w:val="20"/>
        </w:rPr>
        <w:t xml:space="preserve"> qualified to provide audit services approved by the State Securities Commission to audit </w:t>
      </w:r>
      <w:r w:rsidR="00D55455" w:rsidRPr="00D55455">
        <w:rPr>
          <w:rFonts w:ascii="Arial" w:hAnsi="Arial" w:cs="Arial"/>
          <w:color w:val="010000"/>
          <w:sz w:val="20"/>
        </w:rPr>
        <w:t>Financial Statements</w:t>
      </w:r>
      <w:r w:rsidRPr="00D55455">
        <w:rPr>
          <w:rFonts w:ascii="Arial" w:hAnsi="Arial" w:cs="Arial"/>
          <w:color w:val="010000"/>
          <w:sz w:val="20"/>
        </w:rPr>
        <w:t xml:space="preserve"> </w:t>
      </w:r>
      <w:r w:rsidR="00D55455" w:rsidRPr="00D55455">
        <w:rPr>
          <w:rFonts w:ascii="Arial" w:hAnsi="Arial" w:cs="Arial"/>
          <w:color w:val="010000"/>
          <w:sz w:val="20"/>
        </w:rPr>
        <w:t xml:space="preserve">2024 </w:t>
      </w:r>
      <w:r w:rsidRPr="00D55455">
        <w:rPr>
          <w:rFonts w:ascii="Arial" w:hAnsi="Arial" w:cs="Arial"/>
          <w:color w:val="010000"/>
          <w:sz w:val="20"/>
        </w:rPr>
        <w:t xml:space="preserve">for the </w:t>
      </w:r>
      <w:r w:rsidR="00D55455" w:rsidRPr="00D55455">
        <w:rPr>
          <w:rFonts w:ascii="Arial" w:hAnsi="Arial" w:cs="Arial"/>
          <w:color w:val="010000"/>
          <w:sz w:val="20"/>
        </w:rPr>
        <w:t>Company</w:t>
      </w:r>
      <w:r w:rsidRPr="00D55455">
        <w:rPr>
          <w:rFonts w:ascii="Arial" w:hAnsi="Arial" w:cs="Arial"/>
          <w:color w:val="010000"/>
          <w:sz w:val="20"/>
        </w:rPr>
        <w:t>.</w:t>
      </w:r>
    </w:p>
    <w:p w14:paraId="029AFFAC" w14:textId="782EBF55"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9.</w:t>
      </w:r>
      <w:proofErr w:type="gramEnd"/>
      <w:r w:rsidRPr="00D55455">
        <w:rPr>
          <w:rFonts w:ascii="Arial" w:hAnsi="Arial" w:cs="Arial"/>
          <w:color w:val="010000"/>
          <w:sz w:val="20"/>
        </w:rPr>
        <w:t xml:space="preserve"> Approve the profit distribution plan 2024.</w:t>
      </w:r>
    </w:p>
    <w:p w14:paraId="0F4F1A0B" w14:textId="77777777" w:rsidR="00642CBA" w:rsidRPr="00D55455" w:rsidRDefault="00C8250D" w:rsidP="00AC7165">
      <w:pPr>
        <w:pBdr>
          <w:top w:val="nil"/>
          <w:left w:val="nil"/>
          <w:bottom w:val="nil"/>
          <w:right w:val="nil"/>
          <w:between w:val="nil"/>
        </w:pBdr>
        <w:tabs>
          <w:tab w:val="left" w:pos="432"/>
          <w:tab w:val="left" w:pos="1141"/>
        </w:tabs>
        <w:spacing w:after="120" w:line="360" w:lineRule="auto"/>
        <w:jc w:val="both"/>
        <w:rPr>
          <w:rFonts w:ascii="Arial" w:eastAsia="Arial" w:hAnsi="Arial" w:cs="Arial"/>
          <w:color w:val="010000"/>
          <w:sz w:val="20"/>
          <w:szCs w:val="20"/>
        </w:rPr>
      </w:pPr>
      <w:r w:rsidRPr="00D55455">
        <w:rPr>
          <w:rFonts w:ascii="Arial" w:hAnsi="Arial" w:cs="Arial"/>
          <w:color w:val="010000"/>
          <w:sz w:val="20"/>
        </w:rPr>
        <w:lastRenderedPageBreak/>
        <w:t>Appropriation for welfare and bonus fund: VND 360,000,000</w:t>
      </w:r>
    </w:p>
    <w:p w14:paraId="68A6C015" w14:textId="024CDB80" w:rsidR="00642CBA" w:rsidRPr="00D55455" w:rsidRDefault="00C8250D" w:rsidP="00AC7165">
      <w:pPr>
        <w:numPr>
          <w:ilvl w:val="0"/>
          <w:numId w:val="2"/>
        </w:numPr>
        <w:pBdr>
          <w:top w:val="nil"/>
          <w:left w:val="nil"/>
          <w:bottom w:val="nil"/>
          <w:right w:val="nil"/>
          <w:between w:val="nil"/>
        </w:pBdr>
        <w:tabs>
          <w:tab w:val="left" w:pos="432"/>
          <w:tab w:val="left" w:pos="2446"/>
          <w:tab w:val="left" w:pos="5680"/>
        </w:tabs>
        <w:spacing w:after="120" w:line="360" w:lineRule="auto"/>
        <w:jc w:val="both"/>
        <w:rPr>
          <w:rFonts w:ascii="Arial" w:eastAsia="Arial" w:hAnsi="Arial" w:cs="Arial"/>
          <w:color w:val="010000"/>
          <w:sz w:val="20"/>
          <w:szCs w:val="20"/>
        </w:rPr>
      </w:pPr>
      <w:r w:rsidRPr="00D55455">
        <w:rPr>
          <w:rFonts w:ascii="Arial" w:hAnsi="Arial" w:cs="Arial"/>
          <w:color w:val="010000"/>
          <w:sz w:val="20"/>
        </w:rPr>
        <w:t>Welfare fund (70%)</w:t>
      </w:r>
      <w:r w:rsidR="00D55455" w:rsidRPr="00D55455">
        <w:rPr>
          <w:rFonts w:ascii="Arial" w:hAnsi="Arial" w:cs="Arial"/>
          <w:color w:val="010000"/>
          <w:sz w:val="20"/>
        </w:rPr>
        <w:t>:</w:t>
      </w:r>
      <w:r w:rsidRPr="00D55455">
        <w:rPr>
          <w:rFonts w:ascii="Arial" w:hAnsi="Arial" w:cs="Arial"/>
          <w:color w:val="010000"/>
          <w:sz w:val="20"/>
        </w:rPr>
        <w:t xml:space="preserve"> VND 252,000,000</w:t>
      </w:r>
    </w:p>
    <w:p w14:paraId="6023DD4A" w14:textId="598D7086" w:rsidR="00642CBA" w:rsidRPr="00D55455" w:rsidRDefault="00C8250D" w:rsidP="00AC7165">
      <w:pPr>
        <w:numPr>
          <w:ilvl w:val="0"/>
          <w:numId w:val="2"/>
        </w:numPr>
        <w:pBdr>
          <w:top w:val="nil"/>
          <w:left w:val="nil"/>
          <w:bottom w:val="nil"/>
          <w:right w:val="nil"/>
          <w:between w:val="nil"/>
        </w:pBdr>
        <w:tabs>
          <w:tab w:val="left" w:pos="432"/>
          <w:tab w:val="left" w:pos="2446"/>
          <w:tab w:val="left" w:pos="5680"/>
        </w:tabs>
        <w:spacing w:after="120" w:line="360" w:lineRule="auto"/>
        <w:jc w:val="both"/>
        <w:rPr>
          <w:rFonts w:ascii="Arial" w:eastAsia="Arial" w:hAnsi="Arial" w:cs="Arial"/>
          <w:color w:val="010000"/>
          <w:sz w:val="20"/>
          <w:szCs w:val="20"/>
        </w:rPr>
      </w:pPr>
      <w:r w:rsidRPr="00D55455">
        <w:rPr>
          <w:rFonts w:ascii="Arial" w:hAnsi="Arial" w:cs="Arial"/>
          <w:color w:val="010000"/>
          <w:sz w:val="20"/>
        </w:rPr>
        <w:t>Bonus fund for employees (30%)</w:t>
      </w:r>
      <w:r w:rsidR="00D55455" w:rsidRPr="00D55455">
        <w:rPr>
          <w:rFonts w:ascii="Arial" w:hAnsi="Arial" w:cs="Arial"/>
          <w:color w:val="010000"/>
          <w:sz w:val="20"/>
        </w:rPr>
        <w:t>:</w:t>
      </w:r>
      <w:r w:rsidRPr="00D55455">
        <w:rPr>
          <w:rFonts w:ascii="Arial" w:hAnsi="Arial" w:cs="Arial"/>
          <w:color w:val="010000"/>
          <w:sz w:val="20"/>
        </w:rPr>
        <w:t xml:space="preserve"> VND 108,000,000</w:t>
      </w:r>
    </w:p>
    <w:p w14:paraId="5AED3CCB"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10.</w:t>
      </w:r>
      <w:proofErr w:type="gramEnd"/>
      <w:r w:rsidRPr="00D55455">
        <w:rPr>
          <w:rFonts w:ascii="Arial" w:hAnsi="Arial" w:cs="Arial"/>
          <w:color w:val="010000"/>
          <w:sz w:val="20"/>
        </w:rPr>
        <w:t xml:space="preserve"> The Meeting agreed to assign the Board of Directors and the Board of Management the responsibility of concretizing the General Mandate of the meeting, establishing an action program to strive to complete the production and business plan 2024 and the contents decided by the Meeting on the basis of compliance with State law and the Company's Charter of Organization and Operation.</w:t>
      </w:r>
    </w:p>
    <w:p w14:paraId="5A421A93"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55455">
        <w:rPr>
          <w:rFonts w:ascii="Arial" w:hAnsi="Arial" w:cs="Arial"/>
          <w:color w:val="010000"/>
          <w:sz w:val="20"/>
        </w:rPr>
        <w:t>‎‎Article 11.</w:t>
      </w:r>
      <w:proofErr w:type="gramEnd"/>
      <w:r w:rsidRPr="00D55455">
        <w:rPr>
          <w:rFonts w:ascii="Arial" w:hAnsi="Arial" w:cs="Arial"/>
          <w:color w:val="010000"/>
          <w:sz w:val="20"/>
        </w:rPr>
        <w:t xml:space="preserve"> Assign the Supervisory Board to be responsible for supervising and inspecting the activities of the Board of Directors and the Board of Management in implementing the General Mandate of the meeting, ensuring compliance with the law and the Company's Charter.</w:t>
      </w:r>
    </w:p>
    <w:p w14:paraId="350269A5" w14:textId="77777777" w:rsidR="00642CBA" w:rsidRPr="00D55455" w:rsidRDefault="00C8250D" w:rsidP="00AC71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5455">
        <w:rPr>
          <w:rFonts w:ascii="Arial" w:hAnsi="Arial" w:cs="Arial"/>
          <w:color w:val="010000"/>
          <w:sz w:val="20"/>
        </w:rPr>
        <w:t>This General Mandate was approved by the General Meeting of Shareholders 2024 and took effect from March 20, 2024.</w:t>
      </w:r>
    </w:p>
    <w:sectPr w:rsidR="00642CBA" w:rsidRPr="00D55455" w:rsidSect="00C8250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608"/>
    <w:multiLevelType w:val="multilevel"/>
    <w:tmpl w:val="1660E238"/>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2832CB"/>
    <w:multiLevelType w:val="multilevel"/>
    <w:tmpl w:val="5EA44CE0"/>
    <w:lvl w:ilvl="0">
      <w:start w:val="6"/>
      <w:numFmt w:val="decimal"/>
      <w:lvlText w:val="%1."/>
      <w:lvlJc w:val="left"/>
      <w:pPr>
        <w:ind w:left="360" w:hanging="360"/>
      </w:pPr>
      <w:rPr>
        <w:b w:val="0"/>
        <w:i w:val="0"/>
        <w:sz w:val="20"/>
      </w:rPr>
    </w:lvl>
    <w:lvl w:ilvl="1">
      <w:start w:val="3"/>
      <w:numFmt w:val="decimal"/>
      <w:lvlText w:val="%1.%2."/>
      <w:lvlJc w:val="left"/>
      <w:pPr>
        <w:ind w:left="720" w:hanging="72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74B2915"/>
    <w:multiLevelType w:val="multilevel"/>
    <w:tmpl w:val="819E1DA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B011E6"/>
    <w:multiLevelType w:val="multilevel"/>
    <w:tmpl w:val="AB66073A"/>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0323554"/>
    <w:multiLevelType w:val="multilevel"/>
    <w:tmpl w:val="3152946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5C4C36"/>
    <w:multiLevelType w:val="multilevel"/>
    <w:tmpl w:val="1352703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A"/>
    <w:rsid w:val="00642CBA"/>
    <w:rsid w:val="00AC7165"/>
    <w:rsid w:val="00C8250D"/>
    <w:rsid w:val="00D55455"/>
    <w:rsid w:val="00F378E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18"/>
      <w:szCs w:val="18"/>
      <w:u w:val="none"/>
      <w:shd w:val="clear" w:color="auto" w:fill="auto"/>
    </w:rPr>
  </w:style>
  <w:style w:type="paragraph" w:customStyle="1" w:styleId="Bodytext30">
    <w:name w:val="Body text (3)"/>
    <w:basedOn w:val="Normal"/>
    <w:link w:val="Bodytext3"/>
    <w:pPr>
      <w:jc w:val="center"/>
    </w:pPr>
    <w:rPr>
      <w:rFonts w:ascii="Arial" w:eastAsia="Arial" w:hAnsi="Arial" w:cs="Arial"/>
      <w:b/>
      <w:bCs/>
    </w:rPr>
  </w:style>
  <w:style w:type="paragraph" w:styleId="BodyText">
    <w:name w:val="Body Text"/>
    <w:basedOn w:val="Normal"/>
    <w:link w:val="BodyTextChar"/>
    <w:qFormat/>
    <w:pPr>
      <w:spacing w:line="283"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Arial" w:eastAsia="Arial" w:hAnsi="Arial" w:cs="Arial"/>
      <w:b/>
      <w:bCs/>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62" w:lineRule="auto"/>
      <w:ind w:firstLine="700"/>
    </w:pPr>
    <w:rPr>
      <w:rFonts w:ascii="Times New Roman" w:eastAsia="Times New Roman" w:hAnsi="Times New Roman" w:cs="Times New Roman"/>
      <w:sz w:val="22"/>
      <w:szCs w:val="22"/>
    </w:rPr>
  </w:style>
  <w:style w:type="paragraph" w:customStyle="1" w:styleId="Other0">
    <w:name w:val="Other"/>
    <w:basedOn w:val="Normal"/>
    <w:link w:val="Other"/>
    <w:pPr>
      <w:spacing w:line="283" w:lineRule="auto"/>
      <w:ind w:firstLine="40"/>
    </w:pPr>
    <w:rPr>
      <w:rFonts w:ascii="Times New Roman" w:eastAsia="Times New Roman" w:hAnsi="Times New Roman" w:cs="Times New Roman"/>
      <w:sz w:val="22"/>
      <w:szCs w:val="22"/>
    </w:rPr>
  </w:style>
  <w:style w:type="paragraph" w:customStyle="1" w:styleId="Bodytext40">
    <w:name w:val="Body text (4)"/>
    <w:basedOn w:val="Normal"/>
    <w:link w:val="Bodytext4"/>
    <w:pPr>
      <w:ind w:firstLine="620"/>
    </w:pPr>
    <w:rPr>
      <w:rFonts w:ascii="Times New Roman" w:eastAsia="Times New Roman" w:hAnsi="Times New Roman" w:cs="Times New Roman"/>
      <w:b/>
      <w:bCs/>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18"/>
      <w:szCs w:val="18"/>
      <w:u w:val="none"/>
      <w:shd w:val="clear" w:color="auto" w:fill="auto"/>
    </w:rPr>
  </w:style>
  <w:style w:type="paragraph" w:customStyle="1" w:styleId="Bodytext30">
    <w:name w:val="Body text (3)"/>
    <w:basedOn w:val="Normal"/>
    <w:link w:val="Bodytext3"/>
    <w:pPr>
      <w:jc w:val="center"/>
    </w:pPr>
    <w:rPr>
      <w:rFonts w:ascii="Arial" w:eastAsia="Arial" w:hAnsi="Arial" w:cs="Arial"/>
      <w:b/>
      <w:bCs/>
    </w:rPr>
  </w:style>
  <w:style w:type="paragraph" w:styleId="BodyText">
    <w:name w:val="Body Text"/>
    <w:basedOn w:val="Normal"/>
    <w:link w:val="BodyTextChar"/>
    <w:qFormat/>
    <w:pPr>
      <w:spacing w:line="283" w:lineRule="auto"/>
      <w:ind w:firstLine="40"/>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Arial" w:eastAsia="Arial" w:hAnsi="Arial" w:cs="Arial"/>
      <w:b/>
      <w:bCs/>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62" w:lineRule="auto"/>
      <w:ind w:firstLine="700"/>
    </w:pPr>
    <w:rPr>
      <w:rFonts w:ascii="Times New Roman" w:eastAsia="Times New Roman" w:hAnsi="Times New Roman" w:cs="Times New Roman"/>
      <w:sz w:val="22"/>
      <w:szCs w:val="22"/>
    </w:rPr>
  </w:style>
  <w:style w:type="paragraph" w:customStyle="1" w:styleId="Other0">
    <w:name w:val="Other"/>
    <w:basedOn w:val="Normal"/>
    <w:link w:val="Other"/>
    <w:pPr>
      <w:spacing w:line="283" w:lineRule="auto"/>
      <w:ind w:firstLine="40"/>
    </w:pPr>
    <w:rPr>
      <w:rFonts w:ascii="Times New Roman" w:eastAsia="Times New Roman" w:hAnsi="Times New Roman" w:cs="Times New Roman"/>
      <w:sz w:val="22"/>
      <w:szCs w:val="22"/>
    </w:rPr>
  </w:style>
  <w:style w:type="paragraph" w:customStyle="1" w:styleId="Bodytext40">
    <w:name w:val="Body text (4)"/>
    <w:basedOn w:val="Normal"/>
    <w:link w:val="Bodytext4"/>
    <w:pPr>
      <w:ind w:firstLine="620"/>
    </w:pPr>
    <w:rPr>
      <w:rFonts w:ascii="Times New Roman" w:eastAsia="Times New Roman" w:hAnsi="Times New Roman" w:cs="Times New Roman"/>
      <w:b/>
      <w:bCs/>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JRkJ77H0iiJShb1cr4xoGV6M8A==">CgMxLjAyCGguZ2pkZ3hzOAByITFfNUgtV0dhcEhlZ25YdTdrM3k2VHFWUjRnX2RiZ0hjSQ==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744</Words>
  <Characters>4075</Characters>
  <Application>Microsoft Office Word</Application>
  <DocSecurity>0</DocSecurity>
  <Lines>33</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2024-03-26T01:17:00Z</dcterms:created>
  <dcterms:modified xsi:type="dcterms:W3CDTF">2024-03-27T03:55:00Z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0b60f0b20fd9a1a49f776d84e1cf4fe9586a9c27c919942ae8e55dd58a9171de</vt:lpwstr>
  </property>
</Properties>
</file>