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631C" w:rsidRPr="004E0412" w:rsidRDefault="00705F94" w:rsidP="007B0CFB">
      <w:pPr>
        <w:keepNext/>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4E0412">
        <w:rPr>
          <w:rFonts w:ascii="Arial" w:hAnsi="Arial" w:cs="Arial"/>
          <w:b/>
          <w:color w:val="010000"/>
          <w:sz w:val="20"/>
        </w:rPr>
        <w:t>TPP: Board Resolution</w:t>
      </w:r>
    </w:p>
    <w:p w14:paraId="00000002" w14:textId="65BC3D4F" w:rsidR="000D631C" w:rsidRPr="004E0412" w:rsidRDefault="00705F94" w:rsidP="007B0CFB">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E0412">
        <w:rPr>
          <w:rFonts w:ascii="Arial" w:hAnsi="Arial" w:cs="Arial"/>
          <w:color w:val="010000"/>
          <w:sz w:val="20"/>
        </w:rPr>
        <w:t xml:space="preserve">On March 22, 2024, Tan </w:t>
      </w:r>
      <w:proofErr w:type="spellStart"/>
      <w:r w:rsidRPr="004E0412">
        <w:rPr>
          <w:rFonts w:ascii="Arial" w:hAnsi="Arial" w:cs="Arial"/>
          <w:color w:val="010000"/>
          <w:sz w:val="20"/>
        </w:rPr>
        <w:t>Phu</w:t>
      </w:r>
      <w:proofErr w:type="spellEnd"/>
      <w:r w:rsidRPr="004E0412">
        <w:rPr>
          <w:rFonts w:ascii="Arial" w:hAnsi="Arial" w:cs="Arial"/>
          <w:color w:val="010000"/>
          <w:sz w:val="20"/>
        </w:rPr>
        <w:t xml:space="preserve"> Viet Nam JSC announced Resolution No. 03/2024/NQ-HDQT on convening the Annual </w:t>
      </w:r>
      <w:r w:rsidR="007B0CFB">
        <w:rPr>
          <w:rFonts w:ascii="Arial" w:hAnsi="Arial" w:cs="Arial"/>
          <w:color w:val="010000"/>
          <w:sz w:val="20"/>
        </w:rPr>
        <w:t>General Meeting</w:t>
      </w:r>
      <w:r w:rsidRPr="004E0412">
        <w:rPr>
          <w:rFonts w:ascii="Arial" w:hAnsi="Arial" w:cs="Arial"/>
          <w:color w:val="010000"/>
          <w:sz w:val="20"/>
        </w:rPr>
        <w:t xml:space="preserve"> 2024 as follows:</w:t>
      </w:r>
    </w:p>
    <w:p w14:paraId="00000003" w14:textId="7EE81CEF" w:rsidR="000D631C" w:rsidRPr="004E0412" w:rsidRDefault="00705F94" w:rsidP="007B0CFB">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E0412">
        <w:rPr>
          <w:rFonts w:ascii="Arial" w:hAnsi="Arial" w:cs="Arial"/>
          <w:color w:val="010000"/>
          <w:sz w:val="20"/>
        </w:rPr>
        <w:t xml:space="preserve">‎‎Article 1. Approve the extension of the Annual </w:t>
      </w:r>
      <w:r w:rsidR="007B0CFB">
        <w:rPr>
          <w:rFonts w:ascii="Arial" w:hAnsi="Arial" w:cs="Arial"/>
          <w:color w:val="010000"/>
          <w:sz w:val="20"/>
        </w:rPr>
        <w:t>General Meeting</w:t>
      </w:r>
      <w:r w:rsidRPr="004E0412">
        <w:rPr>
          <w:rFonts w:ascii="Arial" w:hAnsi="Arial" w:cs="Arial"/>
          <w:color w:val="010000"/>
          <w:sz w:val="20"/>
        </w:rPr>
        <w:t xml:space="preserve"> 2024 of Tan </w:t>
      </w:r>
      <w:proofErr w:type="spellStart"/>
      <w:r w:rsidRPr="004E0412">
        <w:rPr>
          <w:rFonts w:ascii="Arial" w:hAnsi="Arial" w:cs="Arial"/>
          <w:color w:val="010000"/>
          <w:sz w:val="20"/>
        </w:rPr>
        <w:t>Phu</w:t>
      </w:r>
      <w:proofErr w:type="spellEnd"/>
      <w:r w:rsidRPr="004E0412">
        <w:rPr>
          <w:rFonts w:ascii="Arial" w:hAnsi="Arial" w:cs="Arial"/>
          <w:color w:val="010000"/>
          <w:sz w:val="20"/>
        </w:rPr>
        <w:t xml:space="preserve"> Viet Nam JSC (“Company”) until after April 30, 2024, but not more than 6 months from the end of fiscal year 2024 (June 30, 2024).</w:t>
      </w:r>
    </w:p>
    <w:p w14:paraId="00000004" w14:textId="70431E14" w:rsidR="000D631C" w:rsidRPr="004E0412" w:rsidRDefault="00705F94" w:rsidP="007B0CFB">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E0412">
        <w:rPr>
          <w:rFonts w:ascii="Arial" w:hAnsi="Arial" w:cs="Arial"/>
          <w:color w:val="010000"/>
          <w:sz w:val="20"/>
        </w:rPr>
        <w:t xml:space="preserve">‎‎Article 2. Approve the plan to convene the Company's Annual </w:t>
      </w:r>
      <w:r w:rsidR="007B0CFB">
        <w:rPr>
          <w:rFonts w:ascii="Arial" w:hAnsi="Arial" w:cs="Arial"/>
          <w:color w:val="010000"/>
          <w:sz w:val="20"/>
        </w:rPr>
        <w:t>General Meeting</w:t>
      </w:r>
      <w:r w:rsidRPr="004E0412">
        <w:rPr>
          <w:rFonts w:ascii="Arial" w:hAnsi="Arial" w:cs="Arial"/>
          <w:color w:val="010000"/>
          <w:sz w:val="20"/>
        </w:rPr>
        <w:t xml:space="preserve"> 2024, with the following main contents:</w:t>
      </w:r>
    </w:p>
    <w:p w14:paraId="00000005" w14:textId="7D301656" w:rsidR="000D631C" w:rsidRPr="004E0412" w:rsidRDefault="00705F94" w:rsidP="007B0CFB">
      <w:pPr>
        <w:numPr>
          <w:ilvl w:val="0"/>
          <w:numId w:val="1"/>
        </w:numPr>
        <w:pBdr>
          <w:top w:val="nil"/>
          <w:left w:val="nil"/>
          <w:bottom w:val="nil"/>
          <w:right w:val="nil"/>
          <w:between w:val="nil"/>
        </w:pBdr>
        <w:tabs>
          <w:tab w:val="left" w:pos="540"/>
          <w:tab w:val="left" w:pos="2257"/>
        </w:tabs>
        <w:spacing w:after="120" w:line="360" w:lineRule="auto"/>
        <w:jc w:val="both"/>
        <w:rPr>
          <w:rFonts w:ascii="Arial" w:hAnsi="Arial" w:cs="Arial"/>
          <w:color w:val="010000"/>
          <w:sz w:val="20"/>
          <w:szCs w:val="20"/>
        </w:rPr>
      </w:pPr>
      <w:r w:rsidRPr="004E0412">
        <w:rPr>
          <w:rFonts w:ascii="Arial" w:hAnsi="Arial" w:cs="Arial"/>
          <w:color w:val="010000"/>
          <w:sz w:val="20"/>
        </w:rPr>
        <w:t xml:space="preserve">Record date to exercise the rights of </w:t>
      </w:r>
      <w:r w:rsidR="007B0CFB">
        <w:rPr>
          <w:rFonts w:ascii="Arial" w:hAnsi="Arial" w:cs="Arial"/>
          <w:color w:val="010000"/>
          <w:sz w:val="20"/>
        </w:rPr>
        <w:t>outstanding</w:t>
      </w:r>
      <w:r w:rsidRPr="004E0412">
        <w:rPr>
          <w:rFonts w:ascii="Arial" w:hAnsi="Arial" w:cs="Arial"/>
          <w:color w:val="010000"/>
          <w:sz w:val="20"/>
        </w:rPr>
        <w:t xml:space="preserve"> shareholders to attend the Annual </w:t>
      </w:r>
      <w:r w:rsidR="007B0CFB">
        <w:rPr>
          <w:rFonts w:ascii="Arial" w:hAnsi="Arial" w:cs="Arial"/>
          <w:color w:val="010000"/>
          <w:sz w:val="20"/>
        </w:rPr>
        <w:t>General Meeting</w:t>
      </w:r>
      <w:r w:rsidRPr="004E0412">
        <w:rPr>
          <w:rFonts w:ascii="Arial" w:hAnsi="Arial" w:cs="Arial"/>
          <w:color w:val="010000"/>
          <w:sz w:val="20"/>
        </w:rPr>
        <w:t xml:space="preserve"> 2024: April 12, 2024</w:t>
      </w:r>
    </w:p>
    <w:p w14:paraId="00000006" w14:textId="0EE7CDA5" w:rsidR="000D631C" w:rsidRPr="004E0412" w:rsidRDefault="00705F94" w:rsidP="007B0CFB">
      <w:pPr>
        <w:numPr>
          <w:ilvl w:val="0"/>
          <w:numId w:val="1"/>
        </w:numPr>
        <w:pBdr>
          <w:top w:val="nil"/>
          <w:left w:val="nil"/>
          <w:bottom w:val="nil"/>
          <w:right w:val="nil"/>
          <w:between w:val="nil"/>
        </w:pBdr>
        <w:tabs>
          <w:tab w:val="left" w:pos="540"/>
          <w:tab w:val="left" w:pos="2257"/>
        </w:tabs>
        <w:spacing w:after="120" w:line="360" w:lineRule="auto"/>
        <w:jc w:val="both"/>
        <w:rPr>
          <w:rFonts w:ascii="Arial" w:hAnsi="Arial" w:cs="Arial"/>
          <w:color w:val="010000"/>
          <w:sz w:val="20"/>
          <w:szCs w:val="20"/>
        </w:rPr>
      </w:pPr>
      <w:r w:rsidRPr="004E0412">
        <w:rPr>
          <w:rFonts w:ascii="Arial" w:hAnsi="Arial" w:cs="Arial"/>
          <w:color w:val="010000"/>
          <w:sz w:val="20"/>
        </w:rPr>
        <w:t xml:space="preserve">Meeting </w:t>
      </w:r>
      <w:r w:rsidR="007B0CFB">
        <w:rPr>
          <w:rFonts w:ascii="Arial" w:hAnsi="Arial" w:cs="Arial"/>
          <w:color w:val="010000"/>
          <w:sz w:val="20"/>
        </w:rPr>
        <w:t>date</w:t>
      </w:r>
      <w:r w:rsidRPr="004E0412">
        <w:rPr>
          <w:rFonts w:ascii="Arial" w:hAnsi="Arial" w:cs="Arial"/>
          <w:color w:val="010000"/>
          <w:sz w:val="20"/>
        </w:rPr>
        <w:t>: The specific time is mentioned in the invitation letter.</w:t>
      </w:r>
    </w:p>
    <w:p w14:paraId="00000007" w14:textId="77777777" w:rsidR="000D631C" w:rsidRPr="004E0412" w:rsidRDefault="00705F94" w:rsidP="007B0CFB">
      <w:pPr>
        <w:numPr>
          <w:ilvl w:val="0"/>
          <w:numId w:val="1"/>
        </w:numPr>
        <w:pBdr>
          <w:top w:val="nil"/>
          <w:left w:val="nil"/>
          <w:bottom w:val="nil"/>
          <w:right w:val="nil"/>
          <w:between w:val="nil"/>
        </w:pBdr>
        <w:tabs>
          <w:tab w:val="left" w:pos="540"/>
          <w:tab w:val="left" w:pos="2257"/>
        </w:tabs>
        <w:spacing w:after="120" w:line="360" w:lineRule="auto"/>
        <w:jc w:val="both"/>
        <w:rPr>
          <w:rFonts w:ascii="Arial" w:hAnsi="Arial" w:cs="Arial"/>
          <w:color w:val="010000"/>
          <w:sz w:val="20"/>
          <w:szCs w:val="20"/>
        </w:rPr>
      </w:pPr>
      <w:r w:rsidRPr="004E0412">
        <w:rPr>
          <w:rFonts w:ascii="Arial" w:hAnsi="Arial" w:cs="Arial"/>
          <w:color w:val="010000"/>
          <w:sz w:val="20"/>
        </w:rPr>
        <w:t>Meeting venue: The specific venue is mentioned in the invitation letter.</w:t>
      </w:r>
    </w:p>
    <w:p w14:paraId="00000008" w14:textId="3DFCB7C5" w:rsidR="000D631C" w:rsidRPr="004E0412" w:rsidRDefault="00705F94" w:rsidP="007B0CFB">
      <w:pPr>
        <w:numPr>
          <w:ilvl w:val="0"/>
          <w:numId w:val="1"/>
        </w:numPr>
        <w:pBdr>
          <w:top w:val="nil"/>
          <w:left w:val="nil"/>
          <w:bottom w:val="nil"/>
          <w:right w:val="nil"/>
          <w:between w:val="nil"/>
        </w:pBdr>
        <w:tabs>
          <w:tab w:val="left" w:pos="540"/>
          <w:tab w:val="left" w:pos="2260"/>
        </w:tabs>
        <w:spacing w:after="120" w:line="360" w:lineRule="auto"/>
        <w:jc w:val="both"/>
        <w:rPr>
          <w:rFonts w:ascii="Arial" w:hAnsi="Arial" w:cs="Arial"/>
          <w:color w:val="010000"/>
          <w:sz w:val="20"/>
          <w:szCs w:val="20"/>
        </w:rPr>
      </w:pPr>
      <w:r w:rsidRPr="004E0412">
        <w:rPr>
          <w:rFonts w:ascii="Arial" w:hAnsi="Arial" w:cs="Arial"/>
          <w:color w:val="010000"/>
          <w:sz w:val="20"/>
        </w:rPr>
        <w:t xml:space="preserve">Meeting contents: The detailed contents will be notified by the Company to shareholders </w:t>
      </w:r>
      <w:r w:rsidR="007B0CFB">
        <w:rPr>
          <w:rFonts w:ascii="Arial" w:hAnsi="Arial" w:cs="Arial"/>
          <w:color w:val="010000"/>
          <w:sz w:val="20"/>
        </w:rPr>
        <w:t>under applicable laws</w:t>
      </w:r>
      <w:r w:rsidRPr="004E0412">
        <w:rPr>
          <w:rFonts w:ascii="Arial" w:hAnsi="Arial" w:cs="Arial"/>
          <w:color w:val="010000"/>
          <w:sz w:val="20"/>
        </w:rPr>
        <w:t xml:space="preserve"> and the Company's Charter.</w:t>
      </w:r>
    </w:p>
    <w:p w14:paraId="00000009" w14:textId="77777777" w:rsidR="000D631C" w:rsidRPr="004E0412" w:rsidRDefault="00705F94" w:rsidP="007B0CFB">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E0412">
        <w:rPr>
          <w:rFonts w:ascii="Arial" w:hAnsi="Arial" w:cs="Arial"/>
          <w:color w:val="010000"/>
          <w:sz w:val="20"/>
        </w:rPr>
        <w:t>‎‎Article 3. Approve the implementation of the following contents:</w:t>
      </w:r>
    </w:p>
    <w:p w14:paraId="0000000A" w14:textId="77777777" w:rsidR="000D631C" w:rsidRPr="004E0412" w:rsidRDefault="00705F94" w:rsidP="007B0CFB">
      <w:pPr>
        <w:numPr>
          <w:ilvl w:val="1"/>
          <w:numId w:val="2"/>
        </w:numPr>
        <w:pBdr>
          <w:top w:val="nil"/>
          <w:left w:val="nil"/>
          <w:bottom w:val="nil"/>
          <w:right w:val="nil"/>
          <w:between w:val="nil"/>
        </w:pBdr>
        <w:tabs>
          <w:tab w:val="left" w:pos="540"/>
          <w:tab w:val="left" w:pos="2257"/>
        </w:tabs>
        <w:spacing w:after="120" w:line="360" w:lineRule="auto"/>
        <w:jc w:val="both"/>
        <w:rPr>
          <w:rFonts w:ascii="Arial" w:hAnsi="Arial" w:cs="Arial"/>
          <w:color w:val="010000"/>
          <w:sz w:val="20"/>
          <w:szCs w:val="20"/>
        </w:rPr>
      </w:pPr>
      <w:r w:rsidRPr="004E0412">
        <w:rPr>
          <w:rFonts w:ascii="Arial" w:hAnsi="Arial" w:cs="Arial"/>
          <w:color w:val="010000"/>
          <w:sz w:val="20"/>
        </w:rPr>
        <w:t>Authorize the Chair of the Board of Directors to perform the following tasks:</w:t>
      </w:r>
    </w:p>
    <w:p w14:paraId="0000000B" w14:textId="4221D0B4" w:rsidR="000D631C" w:rsidRPr="004E0412" w:rsidRDefault="00705F94" w:rsidP="007B0CFB">
      <w:pPr>
        <w:pStyle w:val="ListParagraph"/>
        <w:numPr>
          <w:ilvl w:val="0"/>
          <w:numId w:val="4"/>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4E0412">
        <w:rPr>
          <w:rFonts w:ascii="Arial" w:hAnsi="Arial" w:cs="Arial"/>
          <w:color w:val="010000"/>
          <w:sz w:val="20"/>
        </w:rPr>
        <w:t xml:space="preserve">Preside over drafting, approving the content and signing of Proposals, Reports and documents of the Board of Directors to be submitted to the </w:t>
      </w:r>
      <w:r w:rsidR="007B0CFB">
        <w:rPr>
          <w:rFonts w:ascii="Arial" w:hAnsi="Arial" w:cs="Arial"/>
          <w:color w:val="010000"/>
          <w:sz w:val="20"/>
        </w:rPr>
        <w:t>General Meeting</w:t>
      </w:r>
      <w:r w:rsidRPr="004E0412">
        <w:rPr>
          <w:rFonts w:ascii="Arial" w:hAnsi="Arial" w:cs="Arial"/>
          <w:color w:val="010000"/>
          <w:sz w:val="20"/>
        </w:rPr>
        <w:t xml:space="preserve"> for consideration and approval;</w:t>
      </w:r>
    </w:p>
    <w:p w14:paraId="0000000C" w14:textId="25242F07" w:rsidR="000D631C" w:rsidRPr="004E0412" w:rsidRDefault="00705F94" w:rsidP="007B0CFB">
      <w:pPr>
        <w:pStyle w:val="ListParagraph"/>
        <w:numPr>
          <w:ilvl w:val="0"/>
          <w:numId w:val="4"/>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4E0412">
        <w:rPr>
          <w:rFonts w:ascii="Arial" w:hAnsi="Arial" w:cs="Arial"/>
          <w:color w:val="010000"/>
          <w:sz w:val="20"/>
        </w:rPr>
        <w:t xml:space="preserve">Select and/or adjust the Record Date and time, venue, and form of meeting (including but not limited to the form of online meeting) to be suitable with the Company's practical activities on the basis of compliance with </w:t>
      </w:r>
      <w:r w:rsidR="007B0CFB">
        <w:rPr>
          <w:rFonts w:ascii="Arial" w:hAnsi="Arial" w:cs="Arial"/>
          <w:color w:val="010000"/>
          <w:sz w:val="20"/>
        </w:rPr>
        <w:t>applicable laws</w:t>
      </w:r>
      <w:bookmarkStart w:id="0" w:name="_GoBack"/>
      <w:bookmarkEnd w:id="0"/>
      <w:r w:rsidRPr="004E0412">
        <w:rPr>
          <w:rFonts w:ascii="Arial" w:hAnsi="Arial" w:cs="Arial"/>
          <w:color w:val="010000"/>
          <w:sz w:val="20"/>
        </w:rPr>
        <w:t xml:space="preserve"> and the Company's Charter.</w:t>
      </w:r>
    </w:p>
    <w:p w14:paraId="0000000D" w14:textId="479DAEEA" w:rsidR="000D631C" w:rsidRPr="004E0412" w:rsidRDefault="00705F94" w:rsidP="007B0CFB">
      <w:pPr>
        <w:numPr>
          <w:ilvl w:val="1"/>
          <w:numId w:val="2"/>
        </w:numPr>
        <w:pBdr>
          <w:top w:val="nil"/>
          <w:left w:val="nil"/>
          <w:bottom w:val="nil"/>
          <w:right w:val="nil"/>
          <w:between w:val="nil"/>
        </w:pBdr>
        <w:tabs>
          <w:tab w:val="left" w:pos="540"/>
          <w:tab w:val="left" w:pos="2257"/>
        </w:tabs>
        <w:spacing w:after="120" w:line="360" w:lineRule="auto"/>
        <w:jc w:val="both"/>
        <w:rPr>
          <w:rFonts w:ascii="Arial" w:hAnsi="Arial" w:cs="Arial"/>
          <w:color w:val="010000"/>
          <w:sz w:val="20"/>
          <w:szCs w:val="20"/>
        </w:rPr>
      </w:pPr>
      <w:r w:rsidRPr="004E0412">
        <w:rPr>
          <w:rFonts w:ascii="Arial" w:hAnsi="Arial" w:cs="Arial"/>
          <w:color w:val="010000"/>
          <w:sz w:val="20"/>
        </w:rPr>
        <w:t xml:space="preserve">Authorize the Chair of the Board of Directors and the Legal Representative to be responsible for implementing procedures, work, drafting, approving the content and signing documents related to the record the list of shareholders and organize the Annual </w:t>
      </w:r>
      <w:r w:rsidR="007B0CFB">
        <w:rPr>
          <w:rFonts w:ascii="Arial" w:hAnsi="Arial" w:cs="Arial"/>
          <w:color w:val="010000"/>
          <w:sz w:val="20"/>
        </w:rPr>
        <w:t>General Meeting</w:t>
      </w:r>
      <w:r w:rsidRPr="004E0412">
        <w:rPr>
          <w:rFonts w:ascii="Arial" w:hAnsi="Arial" w:cs="Arial"/>
          <w:color w:val="010000"/>
          <w:sz w:val="20"/>
        </w:rPr>
        <w:t xml:space="preserve"> 2024 </w:t>
      </w:r>
      <w:r w:rsidR="007B0CFB">
        <w:rPr>
          <w:rFonts w:ascii="Arial" w:hAnsi="Arial" w:cs="Arial"/>
          <w:color w:val="010000"/>
          <w:sz w:val="20"/>
        </w:rPr>
        <w:t xml:space="preserve">under applicable laws </w:t>
      </w:r>
      <w:r w:rsidRPr="004E0412">
        <w:rPr>
          <w:rFonts w:ascii="Arial" w:hAnsi="Arial" w:cs="Arial"/>
          <w:color w:val="010000"/>
          <w:sz w:val="20"/>
        </w:rPr>
        <w:t>and the Company's Charter.</w:t>
      </w:r>
    </w:p>
    <w:p w14:paraId="0000000E" w14:textId="3CA248A3" w:rsidR="000D631C" w:rsidRPr="004E0412" w:rsidRDefault="00705F94" w:rsidP="007B0CFB">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E0412">
        <w:rPr>
          <w:rFonts w:ascii="Arial" w:hAnsi="Arial" w:cs="Arial"/>
          <w:color w:val="010000"/>
          <w:sz w:val="20"/>
        </w:rPr>
        <w:t xml:space="preserve">‎‎Article 4. Terms </w:t>
      </w:r>
      <w:r w:rsidR="004E0412" w:rsidRPr="004E0412">
        <w:rPr>
          <w:rFonts w:ascii="Arial" w:hAnsi="Arial" w:cs="Arial"/>
          <w:color w:val="010000"/>
          <w:sz w:val="20"/>
        </w:rPr>
        <w:t xml:space="preserve">of </w:t>
      </w:r>
      <w:r w:rsidRPr="004E0412">
        <w:rPr>
          <w:rFonts w:ascii="Arial" w:hAnsi="Arial" w:cs="Arial"/>
          <w:color w:val="010000"/>
          <w:sz w:val="20"/>
        </w:rPr>
        <w:t>enforcement:</w:t>
      </w:r>
    </w:p>
    <w:p w14:paraId="0000000F" w14:textId="77777777" w:rsidR="000D631C" w:rsidRPr="004E0412" w:rsidRDefault="00705F94" w:rsidP="007B0CFB">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E0412">
        <w:rPr>
          <w:rFonts w:ascii="Arial" w:hAnsi="Arial" w:cs="Arial"/>
          <w:color w:val="010000"/>
          <w:sz w:val="20"/>
        </w:rPr>
        <w:t>Members of the Board of Directors, the Board of Management and relevant departments and divisions of the Company are responsible for implementing this Resolution.</w:t>
      </w:r>
    </w:p>
    <w:p w14:paraId="00000010" w14:textId="77777777" w:rsidR="000D631C" w:rsidRPr="004E0412" w:rsidRDefault="00705F94" w:rsidP="007B0CFB">
      <w:pPr>
        <w:pBdr>
          <w:top w:val="nil"/>
          <w:left w:val="nil"/>
          <w:bottom w:val="nil"/>
          <w:right w:val="nil"/>
          <w:between w:val="nil"/>
        </w:pBdr>
        <w:tabs>
          <w:tab w:val="left" w:pos="540"/>
        </w:tabs>
        <w:spacing w:after="120" w:line="360" w:lineRule="auto"/>
        <w:jc w:val="both"/>
        <w:rPr>
          <w:rFonts w:ascii="Arial" w:eastAsia="Times New Roman" w:hAnsi="Arial" w:cs="Arial"/>
          <w:color w:val="010000"/>
          <w:sz w:val="20"/>
          <w:szCs w:val="20"/>
        </w:rPr>
      </w:pPr>
      <w:r w:rsidRPr="004E0412">
        <w:rPr>
          <w:rFonts w:ascii="Arial" w:hAnsi="Arial" w:cs="Arial"/>
          <w:color w:val="010000"/>
          <w:sz w:val="20"/>
        </w:rPr>
        <w:t>This Resolution takes effect from the date of signing.</w:t>
      </w:r>
    </w:p>
    <w:sectPr w:rsidR="000D631C" w:rsidRPr="004E0412" w:rsidSect="00705F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033"/>
    <w:multiLevelType w:val="hybridMultilevel"/>
    <w:tmpl w:val="6AF820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C20756E"/>
    <w:multiLevelType w:val="multilevel"/>
    <w:tmpl w:val="B9B0058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DD68C2"/>
    <w:multiLevelType w:val="hybridMultilevel"/>
    <w:tmpl w:val="514A0F9E"/>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71A428B"/>
    <w:multiLevelType w:val="multilevel"/>
    <w:tmpl w:val="3CB8BD68"/>
    <w:lvl w:ilvl="0">
      <w:start w:val="3"/>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1C"/>
    <w:rsid w:val="000D631C"/>
    <w:rsid w:val="004E0412"/>
    <w:rsid w:val="00705F94"/>
    <w:rsid w:val="007B0CF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F1C8E"/>
  <w15:docId w15:val="{E78629FD-B326-4DD1-953B-0210694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E363C"/>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0C13"/>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F1726"/>
      <w:sz w:val="20"/>
      <w:szCs w:val="2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CF1726"/>
      <w:sz w:val="32"/>
      <w:szCs w:val="32"/>
      <w:u w:val="none"/>
    </w:rPr>
  </w:style>
  <w:style w:type="paragraph" w:customStyle="1" w:styleId="Heading21">
    <w:name w:val="Heading #2"/>
    <w:basedOn w:val="Normal"/>
    <w:link w:val="Heading20"/>
    <w:pPr>
      <w:spacing w:line="276" w:lineRule="auto"/>
      <w:jc w:val="center"/>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color w:val="FE363C"/>
      <w:sz w:val="9"/>
      <w:szCs w:val="9"/>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E0C13"/>
      <w:sz w:val="16"/>
      <w:szCs w:val="16"/>
    </w:rPr>
  </w:style>
  <w:style w:type="paragraph" w:customStyle="1" w:styleId="Bodytext50">
    <w:name w:val="Body text (5)"/>
    <w:basedOn w:val="Normal"/>
    <w:link w:val="Bodytext5"/>
    <w:pPr>
      <w:ind w:left="5080"/>
    </w:pPr>
    <w:rPr>
      <w:rFonts w:ascii="Times New Roman" w:eastAsia="Times New Roman" w:hAnsi="Times New Roman" w:cs="Times New Roman"/>
      <w:b/>
      <w:bCs/>
      <w:sz w:val="28"/>
      <w:szCs w:val="28"/>
    </w:rPr>
  </w:style>
  <w:style w:type="paragraph" w:customStyle="1" w:styleId="Bodytext30">
    <w:name w:val="Body text (3)"/>
    <w:basedOn w:val="Normal"/>
    <w:link w:val="Bodytext3"/>
    <w:pPr>
      <w:ind w:left="1510"/>
    </w:pPr>
    <w:rPr>
      <w:rFonts w:ascii="Times New Roman" w:eastAsia="Times New Roman" w:hAnsi="Times New Roman" w:cs="Times New Roman"/>
      <w:sz w:val="18"/>
      <w:szCs w:val="18"/>
    </w:rPr>
  </w:style>
  <w:style w:type="paragraph" w:customStyle="1" w:styleId="Bodytext60">
    <w:name w:val="Body text (6)"/>
    <w:basedOn w:val="Normal"/>
    <w:link w:val="Bodytext6"/>
    <w:pPr>
      <w:ind w:left="9480"/>
    </w:pPr>
    <w:rPr>
      <w:rFonts w:ascii="Arial" w:eastAsia="Arial" w:hAnsi="Arial" w:cs="Arial"/>
      <w:color w:val="CF1726"/>
      <w:sz w:val="20"/>
      <w:szCs w:val="20"/>
    </w:rPr>
  </w:style>
  <w:style w:type="paragraph" w:customStyle="1" w:styleId="Heading11">
    <w:name w:val="Heading #1"/>
    <w:basedOn w:val="Normal"/>
    <w:link w:val="Heading10"/>
    <w:pPr>
      <w:spacing w:line="190" w:lineRule="auto"/>
      <w:ind w:left="9480"/>
      <w:outlineLvl w:val="0"/>
    </w:pPr>
    <w:rPr>
      <w:rFonts w:ascii="Arial" w:eastAsia="Arial" w:hAnsi="Arial" w:cs="Arial"/>
      <w:color w:val="CF1726"/>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E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ua9YqxbjnCmu+qXGUm/f3kvIQ==">CgMxLjA4AHIhMUpJamE1WVpHOVNXckhZb0JqTjROd2dEdVhkZEx6WmdD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2024-03-27T03:51:00Z</dcterms:created>
  <dcterms:modified xsi:type="dcterms:W3CDTF">2024-03-27T03:51:00Z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4e2185884de2f757a7df926b01d8b9f6bba7f8983be242773e8a451e3509c535</vt:lpwstr>
  </property>
</Properties>
</file>