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868F" w14:textId="77777777" w:rsidR="00C71527" w:rsidRPr="00EB6C3A" w:rsidRDefault="00887308" w:rsidP="003E32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B6C3A">
        <w:rPr>
          <w:rFonts w:ascii="Arial" w:hAnsi="Arial" w:cs="Arial"/>
          <w:b/>
          <w:color w:val="010000"/>
          <w:sz w:val="20"/>
        </w:rPr>
        <w:t>TSJ: Explanation of fluctuations in profit after tax in 2023 compared to the previous year</w:t>
      </w:r>
    </w:p>
    <w:p w14:paraId="42B7CE60" w14:textId="77777777" w:rsidR="00C71527" w:rsidRPr="00EB6C3A" w:rsidRDefault="00887308" w:rsidP="003E32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C3A">
        <w:rPr>
          <w:rFonts w:ascii="Arial" w:hAnsi="Arial" w:cs="Arial"/>
          <w:color w:val="010000"/>
          <w:sz w:val="20"/>
        </w:rPr>
        <w:t xml:space="preserve">On March 26, 2024, Ha </w:t>
      </w:r>
      <w:proofErr w:type="spellStart"/>
      <w:r w:rsidRPr="00EB6C3A">
        <w:rPr>
          <w:rFonts w:ascii="Arial" w:hAnsi="Arial" w:cs="Arial"/>
          <w:color w:val="010000"/>
          <w:sz w:val="20"/>
        </w:rPr>
        <w:t>Noi</w:t>
      </w:r>
      <w:proofErr w:type="spellEnd"/>
      <w:r w:rsidRPr="00EB6C3A">
        <w:rPr>
          <w:rFonts w:ascii="Arial" w:hAnsi="Arial" w:cs="Arial"/>
          <w:color w:val="010000"/>
          <w:sz w:val="20"/>
        </w:rPr>
        <w:t xml:space="preserve"> Tourist Service Joint Stock Company announced Official Dispatch No. 58/TSC on explaining the fluctuations in profit after tax in 2023 as follows:</w:t>
      </w:r>
    </w:p>
    <w:p w14:paraId="20751C15" w14:textId="77777777" w:rsidR="00C71527" w:rsidRPr="00EB6C3A" w:rsidRDefault="00887308" w:rsidP="003E32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EB6C3A">
        <w:rPr>
          <w:rFonts w:ascii="Arial" w:hAnsi="Arial" w:cs="Arial"/>
          <w:color w:val="010000"/>
          <w:sz w:val="20"/>
        </w:rPr>
        <w:t>Unit: VND</w:t>
      </w:r>
      <w:bookmarkStart w:id="0" w:name="_GoBack"/>
      <w:bookmarkEnd w:id="0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3"/>
        <w:gridCol w:w="1885"/>
        <w:gridCol w:w="1871"/>
        <w:gridCol w:w="1880"/>
        <w:gridCol w:w="1258"/>
      </w:tblGrid>
      <w:tr w:rsidR="00C71527" w:rsidRPr="00EB6C3A" w14:paraId="1CAB5F6D" w14:textId="77777777" w:rsidTr="00887308">
        <w:tc>
          <w:tcPr>
            <w:tcW w:w="1190" w:type="pct"/>
            <w:shd w:val="clear" w:color="auto" w:fill="auto"/>
            <w:vAlign w:val="center"/>
          </w:tcPr>
          <w:p w14:paraId="47C317FD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27C0DE4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C2DBA86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51596039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CD57BA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C71527" w:rsidRPr="00EB6C3A" w14:paraId="7805D329" w14:textId="77777777" w:rsidTr="00887308">
        <w:tc>
          <w:tcPr>
            <w:tcW w:w="1190" w:type="pct"/>
            <w:shd w:val="clear" w:color="auto" w:fill="auto"/>
            <w:vAlign w:val="center"/>
          </w:tcPr>
          <w:p w14:paraId="75789EF4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F76E5FC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F61CB63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65C482CF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(4)=(2-3)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EDB2421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(5 = 4/2)</w:t>
            </w:r>
          </w:p>
        </w:tc>
      </w:tr>
      <w:tr w:rsidR="00C71527" w:rsidRPr="00EB6C3A" w14:paraId="29542137" w14:textId="77777777" w:rsidTr="00887308">
        <w:tc>
          <w:tcPr>
            <w:tcW w:w="1190" w:type="pct"/>
            <w:shd w:val="clear" w:color="auto" w:fill="auto"/>
            <w:vAlign w:val="center"/>
          </w:tcPr>
          <w:p w14:paraId="1282CF8C" w14:textId="5C476A0C" w:rsidR="00C71527" w:rsidRPr="00EB6C3A" w:rsidRDefault="003E3279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F60E6E1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75,443,112,886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3862859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30,493,176,693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CC6934E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44,949,936,193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0E0148" w14:textId="77777777" w:rsidR="00C71527" w:rsidRPr="00EB6C3A" w:rsidRDefault="00887308" w:rsidP="003E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6C3A">
              <w:rPr>
                <w:rFonts w:ascii="Arial" w:hAnsi="Arial" w:cs="Arial"/>
                <w:color w:val="010000"/>
                <w:sz w:val="20"/>
              </w:rPr>
              <w:t>147.41%</w:t>
            </w:r>
          </w:p>
        </w:tc>
      </w:tr>
    </w:tbl>
    <w:p w14:paraId="1B8B10C7" w14:textId="77777777" w:rsidR="00C71527" w:rsidRPr="00EB6C3A" w:rsidRDefault="00887308" w:rsidP="003E32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C3A">
        <w:rPr>
          <w:rFonts w:ascii="Arial" w:hAnsi="Arial" w:cs="Arial"/>
          <w:color w:val="010000"/>
          <w:sz w:val="20"/>
        </w:rPr>
        <w:t>Profit after tax in 2023 increases by VND 44,949,936,193 compared to 2022 because:</w:t>
      </w:r>
    </w:p>
    <w:p w14:paraId="410F54F2" w14:textId="1267BAFA" w:rsidR="00C71527" w:rsidRPr="00EB6C3A" w:rsidRDefault="00887308" w:rsidP="003E3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C3A">
        <w:rPr>
          <w:rFonts w:ascii="Arial" w:hAnsi="Arial" w:cs="Arial"/>
          <w:color w:val="010000"/>
          <w:sz w:val="20"/>
        </w:rPr>
        <w:t xml:space="preserve">In 2023, the profit </w:t>
      </w:r>
      <w:r w:rsidR="00EB6C3A" w:rsidRPr="00EB6C3A">
        <w:rPr>
          <w:rFonts w:ascii="Arial" w:hAnsi="Arial" w:cs="Arial"/>
          <w:color w:val="010000"/>
          <w:sz w:val="20"/>
        </w:rPr>
        <w:t>distributed</w:t>
      </w:r>
      <w:r w:rsidRPr="00EB6C3A">
        <w:rPr>
          <w:rFonts w:ascii="Arial" w:hAnsi="Arial" w:cs="Arial"/>
          <w:color w:val="010000"/>
          <w:sz w:val="20"/>
        </w:rPr>
        <w:t xml:space="preserve"> from the joint venture is VND 30.21 billion while in 2022, it is only VND 0.19 billion.</w:t>
      </w:r>
    </w:p>
    <w:p w14:paraId="043A99AA" w14:textId="77777777" w:rsidR="00C71527" w:rsidRPr="00EB6C3A" w:rsidRDefault="00887308" w:rsidP="003E3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C3A">
        <w:rPr>
          <w:rFonts w:ascii="Arial" w:hAnsi="Arial" w:cs="Arial"/>
          <w:color w:val="010000"/>
          <w:sz w:val="20"/>
        </w:rPr>
        <w:t>Gross profit on service provision in 2023 increases by VND 7.30 billion compared to 2022.</w:t>
      </w:r>
    </w:p>
    <w:p w14:paraId="5725C8C0" w14:textId="77777777" w:rsidR="00C71527" w:rsidRPr="00EB6C3A" w:rsidRDefault="00887308" w:rsidP="003E3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6C3A">
        <w:rPr>
          <w:rFonts w:ascii="Arial" w:hAnsi="Arial" w:cs="Arial"/>
          <w:color w:val="010000"/>
          <w:sz w:val="20"/>
        </w:rPr>
        <w:t>Financial revenue from deposit activities in 2023 increases by VND 10.76 billion compared to 2022.</w:t>
      </w:r>
    </w:p>
    <w:sectPr w:rsidR="00C71527" w:rsidRPr="00EB6C3A" w:rsidSect="008873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0FC"/>
    <w:multiLevelType w:val="multilevel"/>
    <w:tmpl w:val="3D9842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7"/>
    <w:rsid w:val="003E3279"/>
    <w:rsid w:val="00887308"/>
    <w:rsid w:val="00C71527"/>
    <w:rsid w:val="00E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25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h6/+FbpDmVBfNRx5UNpUczxPqA==">CgMxLjA4AHIhMTlPVkd5OEpmWU9mZTlFODVDQzRxUHh0X2RzbklsSzgx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675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2024-03-27T04:17:00Z</dcterms:created>
  <dcterms:modified xsi:type="dcterms:W3CDTF">2024-03-28T06:50:00Z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61c10292a9145890928468ceec6e47e80b421b6e1e0c99063f3df27ef38dd359</vt:lpwstr>
  </property>
</Properties>
</file>