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025CC" w:rsidRPr="00EA3EA7" w:rsidRDefault="00955CA5" w:rsidP="00846E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3EA7">
        <w:rPr>
          <w:rFonts w:ascii="Arial" w:hAnsi="Arial" w:cs="Arial"/>
          <w:b/>
          <w:color w:val="010000"/>
          <w:sz w:val="20"/>
        </w:rPr>
        <w:t>TTG: Board Resolution</w:t>
      </w:r>
      <w:bookmarkStart w:id="0" w:name="_GoBack"/>
      <w:bookmarkEnd w:id="0"/>
    </w:p>
    <w:p w14:paraId="00000002" w14:textId="77777777" w:rsidR="005025CC" w:rsidRPr="00EA3EA7" w:rsidRDefault="00955CA5" w:rsidP="00846E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On March 22, 2024, Thanh Tri Garment JSC announced Resolution No. 07/2024/NQ-HDQT on the signing of a contract for garment processing for export as follows:</w:t>
      </w:r>
    </w:p>
    <w:p w14:paraId="00000003" w14:textId="23F8ED9A" w:rsidR="005025CC" w:rsidRPr="00EA3EA7" w:rsidRDefault="00955CA5" w:rsidP="00846E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Article 1: Approve Thanh Tri Garment JSC’s decision to sign and implement a contract for garment processing for export with GAWOO CO., LTD (Appendix No. 01 of Contract No. 01/GAWOO-TTG/2024 dated March 22, 2024) with a value exceeding 15% of the total assets of the company in the Audited Financial Statements 2022.</w:t>
      </w:r>
    </w:p>
    <w:p w14:paraId="00000004" w14:textId="77777777" w:rsidR="005025CC" w:rsidRPr="00EA3EA7" w:rsidRDefault="00955CA5" w:rsidP="00846E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Details as follows:</w:t>
      </w:r>
    </w:p>
    <w:p w14:paraId="00000005" w14:textId="77777777" w:rsidR="005025CC" w:rsidRPr="00EA3EA7" w:rsidRDefault="00955CA5" w:rsidP="00846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Total assets of the company according to the Audited Financial Statements 2022: VND 8,889,483,426</w:t>
      </w:r>
    </w:p>
    <w:p w14:paraId="00000006" w14:textId="77777777" w:rsidR="005025CC" w:rsidRPr="00EA3EA7" w:rsidRDefault="00955CA5" w:rsidP="00846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Contract value: VND 5,985,318,265</w:t>
      </w:r>
    </w:p>
    <w:p w14:paraId="00000007" w14:textId="77777777" w:rsidR="005025CC" w:rsidRPr="00EA3EA7" w:rsidRDefault="00955CA5" w:rsidP="00846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7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Signing date: March 22, 2024</w:t>
      </w:r>
    </w:p>
    <w:p w14:paraId="00000008" w14:textId="77777777" w:rsidR="005025CC" w:rsidRPr="00EA3EA7" w:rsidRDefault="00955CA5" w:rsidP="00846E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Article 2: Members of the Board of Directors, the Board of Management, relevant departments and individuals are responsible for the implementation of this Resolution.</w:t>
      </w:r>
    </w:p>
    <w:p w14:paraId="00000009" w14:textId="77777777" w:rsidR="005025CC" w:rsidRPr="00EA3EA7" w:rsidRDefault="00955CA5" w:rsidP="00846E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3EA7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5025CC" w:rsidRPr="00EA3EA7" w:rsidSect="00955CA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CCE"/>
    <w:multiLevelType w:val="multilevel"/>
    <w:tmpl w:val="779E79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CC"/>
    <w:rsid w:val="005025CC"/>
    <w:rsid w:val="00846E8A"/>
    <w:rsid w:val="00955CA5"/>
    <w:rsid w:val="00E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7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pd8CrxpdFnlpnpvsC3VnEAxopQ==">CgMxLjA4AHIhMXZfbGdNdVRlTGNZLWxGUFFSd0czZDI5Z2EtVTRVejVC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2024-03-26T03:54:00Z</dcterms:created>
  <dcterms:modified xsi:type="dcterms:W3CDTF">2024-03-27T03:49:00Z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405fdc90720af7937f5c8012942ea919a72f0cb3092fed4e9137717c7497da93</vt:lpwstr>
  </property>
</Properties>
</file>