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0400" w:rsidRPr="0061468F" w:rsidRDefault="00B8767E" w:rsidP="00855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1468F">
        <w:rPr>
          <w:rFonts w:ascii="Arial" w:hAnsi="Arial" w:cs="Arial"/>
          <w:b/>
          <w:color w:val="010000"/>
          <w:sz w:val="20"/>
        </w:rPr>
        <w:t>VCS: Board Resolution</w:t>
      </w:r>
    </w:p>
    <w:p w14:paraId="00000002" w14:textId="4E476392" w:rsidR="00D10400" w:rsidRPr="0061468F" w:rsidRDefault="00B8767E" w:rsidP="00855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On March 22, 2024, </w:t>
      </w:r>
      <w:proofErr w:type="spellStart"/>
      <w:r w:rsidRPr="0061468F">
        <w:rPr>
          <w:rFonts w:ascii="Arial" w:hAnsi="Arial" w:cs="Arial"/>
          <w:color w:val="010000"/>
          <w:sz w:val="20"/>
        </w:rPr>
        <w:t>Vicostone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 Joint Stock Company announced Resolution No. </w:t>
      </w:r>
      <w:r w:rsidR="0061468F" w:rsidRPr="0061468F">
        <w:rPr>
          <w:rFonts w:ascii="Arial" w:hAnsi="Arial" w:cs="Arial"/>
          <w:color w:val="010000"/>
          <w:sz w:val="20"/>
        </w:rPr>
        <w:t>0</w:t>
      </w:r>
      <w:r w:rsidRPr="0061468F">
        <w:rPr>
          <w:rFonts w:ascii="Arial" w:hAnsi="Arial" w:cs="Arial"/>
          <w:color w:val="010000"/>
          <w:sz w:val="20"/>
        </w:rPr>
        <w:t xml:space="preserve">5/2024 NQ/VCS - </w:t>
      </w:r>
      <w:r w:rsidR="0061468F" w:rsidRPr="0061468F">
        <w:rPr>
          <w:rFonts w:ascii="Arial" w:hAnsi="Arial" w:cs="Arial"/>
          <w:color w:val="010000"/>
          <w:sz w:val="20"/>
        </w:rPr>
        <w:t>HDQT</w:t>
      </w:r>
      <w:r w:rsidRPr="0061468F">
        <w:rPr>
          <w:rFonts w:ascii="Arial" w:hAnsi="Arial" w:cs="Arial"/>
          <w:color w:val="010000"/>
          <w:sz w:val="20"/>
        </w:rPr>
        <w:t xml:space="preserve"> on approving the meeting time and documents for the Annual </w:t>
      </w:r>
      <w:r w:rsidR="00855F7E">
        <w:rPr>
          <w:rFonts w:ascii="Arial" w:hAnsi="Arial" w:cs="Arial"/>
          <w:color w:val="010000"/>
          <w:sz w:val="20"/>
        </w:rPr>
        <w:t>General Meeting</w:t>
      </w:r>
      <w:r w:rsidRPr="0061468F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D7DB05E" w:rsidR="00D10400" w:rsidRPr="0061468F" w:rsidRDefault="00B8767E" w:rsidP="00855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Article 1: Decide on the time to </w:t>
      </w:r>
      <w:r w:rsidR="00855F7E">
        <w:rPr>
          <w:rFonts w:ascii="Arial" w:hAnsi="Arial" w:cs="Arial"/>
          <w:color w:val="010000"/>
          <w:sz w:val="20"/>
        </w:rPr>
        <w:t>convene</w:t>
      </w:r>
      <w:bookmarkStart w:id="0" w:name="_GoBack"/>
      <w:bookmarkEnd w:id="0"/>
      <w:r w:rsidRPr="0061468F">
        <w:rPr>
          <w:rFonts w:ascii="Arial" w:hAnsi="Arial" w:cs="Arial"/>
          <w:color w:val="010000"/>
          <w:sz w:val="20"/>
        </w:rPr>
        <w:t xml:space="preserve"> the Annual </w:t>
      </w:r>
      <w:r w:rsidR="00855F7E">
        <w:rPr>
          <w:rFonts w:ascii="Arial" w:hAnsi="Arial" w:cs="Arial"/>
          <w:color w:val="010000"/>
          <w:sz w:val="20"/>
        </w:rPr>
        <w:t>General Meeting</w:t>
      </w:r>
      <w:r w:rsidRPr="0061468F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61468F">
        <w:rPr>
          <w:rFonts w:ascii="Arial" w:hAnsi="Arial" w:cs="Arial"/>
          <w:color w:val="010000"/>
          <w:sz w:val="20"/>
        </w:rPr>
        <w:t>Vicostone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 Joint Stock Company, specifically as follows:</w:t>
      </w:r>
    </w:p>
    <w:p w14:paraId="00000004" w14:textId="77777777" w:rsidR="00D10400" w:rsidRPr="0061468F" w:rsidRDefault="00B8767E" w:rsidP="0085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>Meeting date: April 12, 2024</w:t>
      </w:r>
    </w:p>
    <w:p w14:paraId="00000005" w14:textId="5CAFC5BF" w:rsidR="00D10400" w:rsidRPr="0061468F" w:rsidRDefault="00855F7E" w:rsidP="00855F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Time: From 8am to 11.30am</w:t>
      </w:r>
    </w:p>
    <w:p w14:paraId="00000006" w14:textId="77777777" w:rsidR="00D10400" w:rsidRPr="0061468F" w:rsidRDefault="00B8767E" w:rsidP="0085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Organization venue: Head office of </w:t>
      </w:r>
      <w:proofErr w:type="spellStart"/>
      <w:r w:rsidRPr="0061468F">
        <w:rPr>
          <w:rFonts w:ascii="Arial" w:hAnsi="Arial" w:cs="Arial"/>
          <w:color w:val="010000"/>
          <w:sz w:val="20"/>
        </w:rPr>
        <w:t>Vicostone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 Joint Stock Company, </w:t>
      </w:r>
      <w:proofErr w:type="spellStart"/>
      <w:r w:rsidRPr="0061468F">
        <w:rPr>
          <w:rFonts w:ascii="Arial" w:hAnsi="Arial" w:cs="Arial"/>
          <w:color w:val="010000"/>
          <w:sz w:val="20"/>
        </w:rPr>
        <w:t>Hoa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 Lac High-tech Park, Thach </w:t>
      </w:r>
      <w:proofErr w:type="spellStart"/>
      <w:r w:rsidRPr="0061468F">
        <w:rPr>
          <w:rFonts w:ascii="Arial" w:hAnsi="Arial" w:cs="Arial"/>
          <w:color w:val="010000"/>
          <w:sz w:val="20"/>
        </w:rPr>
        <w:t>Hoa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 Commune, Thach That District, Hanoi</w:t>
      </w:r>
    </w:p>
    <w:p w14:paraId="00000007" w14:textId="52490046" w:rsidR="00D10400" w:rsidRPr="0061468F" w:rsidRDefault="00B8767E" w:rsidP="00855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Article 2: Approve documents for the Annual </w:t>
      </w:r>
      <w:r w:rsidR="00855F7E">
        <w:rPr>
          <w:rFonts w:ascii="Arial" w:hAnsi="Arial" w:cs="Arial"/>
          <w:color w:val="010000"/>
          <w:sz w:val="20"/>
        </w:rPr>
        <w:t>General Meeting</w:t>
      </w:r>
      <w:r w:rsidRPr="0061468F">
        <w:rPr>
          <w:rFonts w:ascii="Arial" w:hAnsi="Arial" w:cs="Arial"/>
          <w:color w:val="010000"/>
          <w:sz w:val="20"/>
        </w:rPr>
        <w:t xml:space="preserve"> 2024 including:</w:t>
      </w:r>
    </w:p>
    <w:p w14:paraId="00000008" w14:textId="6D9E17C4" w:rsidR="00D10400" w:rsidRPr="0061468F" w:rsidRDefault="00B8767E" w:rsidP="0085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Draft Agenda for the Annual </w:t>
      </w:r>
      <w:r w:rsidR="00855F7E">
        <w:rPr>
          <w:rFonts w:ascii="Arial" w:hAnsi="Arial" w:cs="Arial"/>
          <w:color w:val="010000"/>
          <w:sz w:val="20"/>
        </w:rPr>
        <w:t>General Meeting</w:t>
      </w:r>
      <w:r w:rsidRPr="0061468F">
        <w:rPr>
          <w:rFonts w:ascii="Arial" w:hAnsi="Arial" w:cs="Arial"/>
          <w:color w:val="010000"/>
          <w:sz w:val="20"/>
        </w:rPr>
        <w:t xml:space="preserve"> 2024</w:t>
      </w:r>
    </w:p>
    <w:p w14:paraId="00000009" w14:textId="77777777" w:rsidR="00D10400" w:rsidRPr="0061468F" w:rsidRDefault="00B8767E" w:rsidP="0085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>Regulations of the Meeting:</w:t>
      </w:r>
    </w:p>
    <w:p w14:paraId="0000000A" w14:textId="727B9D3B" w:rsidR="00D10400" w:rsidRPr="0061468F" w:rsidRDefault="00B8767E" w:rsidP="00855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Draft Regulations for </w:t>
      </w:r>
      <w:r w:rsidR="00855F7E">
        <w:rPr>
          <w:rFonts w:ascii="Arial" w:hAnsi="Arial" w:cs="Arial"/>
          <w:color w:val="010000"/>
          <w:sz w:val="20"/>
        </w:rPr>
        <w:t xml:space="preserve">convening </w:t>
      </w:r>
      <w:r w:rsidRPr="0061468F">
        <w:rPr>
          <w:rFonts w:ascii="Arial" w:hAnsi="Arial" w:cs="Arial"/>
          <w:color w:val="010000"/>
          <w:sz w:val="20"/>
        </w:rPr>
        <w:t xml:space="preserve">the Annual </w:t>
      </w:r>
      <w:r w:rsidR="00855F7E">
        <w:rPr>
          <w:rFonts w:ascii="Arial" w:hAnsi="Arial" w:cs="Arial"/>
          <w:color w:val="010000"/>
          <w:sz w:val="20"/>
        </w:rPr>
        <w:t>General Meeting</w:t>
      </w:r>
      <w:r w:rsidRPr="0061468F">
        <w:rPr>
          <w:rFonts w:ascii="Arial" w:hAnsi="Arial" w:cs="Arial"/>
          <w:color w:val="010000"/>
          <w:sz w:val="20"/>
        </w:rPr>
        <w:t xml:space="preserve"> 2024</w:t>
      </w:r>
    </w:p>
    <w:p w14:paraId="0000000B" w14:textId="5B2CB1F6" w:rsidR="00D10400" w:rsidRPr="0061468F" w:rsidRDefault="00B8767E" w:rsidP="00855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Draft Voting Regulations at the Annual </w:t>
      </w:r>
      <w:r w:rsidR="00855F7E">
        <w:rPr>
          <w:rFonts w:ascii="Arial" w:hAnsi="Arial" w:cs="Arial"/>
          <w:color w:val="010000"/>
          <w:sz w:val="20"/>
        </w:rPr>
        <w:t>General Meeting</w:t>
      </w:r>
      <w:r w:rsidRPr="0061468F">
        <w:rPr>
          <w:rFonts w:ascii="Arial" w:hAnsi="Arial" w:cs="Arial"/>
          <w:color w:val="010000"/>
          <w:sz w:val="20"/>
        </w:rPr>
        <w:t xml:space="preserve"> 2024</w:t>
      </w:r>
    </w:p>
    <w:p w14:paraId="0000000C" w14:textId="77777777" w:rsidR="00D10400" w:rsidRPr="0061468F" w:rsidRDefault="00B8767E" w:rsidP="00855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>Draft Regulations for electing members of the Board of Directors in the term of 2024 - 2029</w:t>
      </w:r>
    </w:p>
    <w:p w14:paraId="0000000D" w14:textId="77777777" w:rsidR="00D10400" w:rsidRPr="0061468F" w:rsidRDefault="00B8767E" w:rsidP="00855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 Proposals submitted to the Meeting:</w:t>
      </w:r>
    </w:p>
    <w:p w14:paraId="0000000E" w14:textId="3F3C606D" w:rsidR="00D10400" w:rsidRPr="0061468F" w:rsidRDefault="00B8767E" w:rsidP="0085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Proposal No. 01/2024 </w:t>
      </w:r>
      <w:proofErr w:type="spellStart"/>
      <w:r w:rsidRPr="0061468F">
        <w:rPr>
          <w:rFonts w:ascii="Arial" w:hAnsi="Arial" w:cs="Arial"/>
          <w:color w:val="010000"/>
          <w:sz w:val="20"/>
        </w:rPr>
        <w:t>TTr</w:t>
      </w:r>
      <w:proofErr w:type="spellEnd"/>
      <w:r w:rsidRPr="0061468F">
        <w:rPr>
          <w:rFonts w:ascii="Arial" w:hAnsi="Arial" w:cs="Arial"/>
          <w:color w:val="010000"/>
          <w:sz w:val="20"/>
        </w:rPr>
        <w:t>/VCS-HDQT on approving the Report of the Board of Directors on the</w:t>
      </w:r>
      <w:r w:rsidR="0061468F" w:rsidRPr="0061468F">
        <w:rPr>
          <w:rFonts w:ascii="Arial" w:hAnsi="Arial" w:cs="Arial"/>
          <w:color w:val="010000"/>
          <w:sz w:val="20"/>
        </w:rPr>
        <w:t xml:space="preserve"> activities </w:t>
      </w:r>
      <w:r w:rsidRPr="0061468F">
        <w:rPr>
          <w:rFonts w:ascii="Arial" w:hAnsi="Arial" w:cs="Arial"/>
          <w:color w:val="010000"/>
          <w:sz w:val="20"/>
        </w:rPr>
        <w:t>in 2023;</w:t>
      </w:r>
    </w:p>
    <w:p w14:paraId="0000000F" w14:textId="77777777" w:rsidR="00D10400" w:rsidRPr="0061468F" w:rsidRDefault="00B8767E" w:rsidP="0085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Proposal No. 02/2024 </w:t>
      </w:r>
      <w:proofErr w:type="spellStart"/>
      <w:r w:rsidRPr="0061468F">
        <w:rPr>
          <w:rFonts w:ascii="Arial" w:hAnsi="Arial" w:cs="Arial"/>
          <w:color w:val="010000"/>
          <w:sz w:val="20"/>
        </w:rPr>
        <w:t>TTr</w:t>
      </w:r>
      <w:proofErr w:type="spellEnd"/>
      <w:r w:rsidRPr="0061468F">
        <w:rPr>
          <w:rFonts w:ascii="Arial" w:hAnsi="Arial" w:cs="Arial"/>
          <w:color w:val="010000"/>
          <w:sz w:val="20"/>
        </w:rPr>
        <w:t>/VCS-BKT on approving the Report of the audit committee on audit activities in 2023;</w:t>
      </w:r>
    </w:p>
    <w:p w14:paraId="00000010" w14:textId="38CD7295" w:rsidR="00D10400" w:rsidRPr="0061468F" w:rsidRDefault="00B8767E" w:rsidP="0085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Proposal No. 03/2024 </w:t>
      </w:r>
      <w:proofErr w:type="spellStart"/>
      <w:r w:rsidRPr="0061468F">
        <w:rPr>
          <w:rFonts w:ascii="Arial" w:hAnsi="Arial" w:cs="Arial"/>
          <w:color w:val="010000"/>
          <w:sz w:val="20"/>
        </w:rPr>
        <w:t>TTr</w:t>
      </w:r>
      <w:proofErr w:type="spellEnd"/>
      <w:r w:rsidRPr="0061468F">
        <w:rPr>
          <w:rFonts w:ascii="Arial" w:hAnsi="Arial" w:cs="Arial"/>
          <w:color w:val="010000"/>
          <w:sz w:val="20"/>
        </w:rPr>
        <w:t>/VCS-HDQT on approving Production and Business Results in 2023, Production and Business Plan in 2024;</w:t>
      </w:r>
    </w:p>
    <w:p w14:paraId="00000011" w14:textId="77777777" w:rsidR="00D10400" w:rsidRPr="0061468F" w:rsidRDefault="00B8767E" w:rsidP="0085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Proposal No. 04/2024 </w:t>
      </w:r>
      <w:proofErr w:type="spellStart"/>
      <w:r w:rsidRPr="0061468F">
        <w:rPr>
          <w:rFonts w:ascii="Arial" w:hAnsi="Arial" w:cs="Arial"/>
          <w:color w:val="010000"/>
          <w:sz w:val="20"/>
        </w:rPr>
        <w:t>TTr</w:t>
      </w:r>
      <w:proofErr w:type="spellEnd"/>
      <w:r w:rsidRPr="0061468F">
        <w:rPr>
          <w:rFonts w:ascii="Arial" w:hAnsi="Arial" w:cs="Arial"/>
          <w:color w:val="010000"/>
          <w:sz w:val="20"/>
        </w:rPr>
        <w:t>/VCS-BKT on approving the Audited Financial Statements 2023 and selecting an audit company for the Financial Statements 2024;</w:t>
      </w:r>
    </w:p>
    <w:p w14:paraId="00000012" w14:textId="77777777" w:rsidR="00D10400" w:rsidRPr="0061468F" w:rsidRDefault="00B8767E" w:rsidP="0085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Proposal No. 05/2024 </w:t>
      </w:r>
      <w:proofErr w:type="spellStart"/>
      <w:r w:rsidRPr="0061468F">
        <w:rPr>
          <w:rFonts w:ascii="Arial" w:hAnsi="Arial" w:cs="Arial"/>
          <w:color w:val="010000"/>
          <w:sz w:val="20"/>
        </w:rPr>
        <w:t>TTr</w:t>
      </w:r>
      <w:proofErr w:type="spellEnd"/>
      <w:r w:rsidRPr="0061468F">
        <w:rPr>
          <w:rFonts w:ascii="Arial" w:hAnsi="Arial" w:cs="Arial"/>
          <w:color w:val="010000"/>
          <w:sz w:val="20"/>
        </w:rPr>
        <w:t>/VCS-HDQT on approving the Profit Distribution Plan in 2023; Plan for profit distribution and remuneration for the Board of Directors in 2024;</w:t>
      </w:r>
    </w:p>
    <w:p w14:paraId="00000013" w14:textId="05A4224B" w:rsidR="00D10400" w:rsidRPr="0061468F" w:rsidRDefault="00B8767E" w:rsidP="00855F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Proposal No. 06/2024 </w:t>
      </w:r>
      <w:proofErr w:type="spellStart"/>
      <w:r w:rsidRPr="0061468F">
        <w:rPr>
          <w:rFonts w:ascii="Arial" w:hAnsi="Arial" w:cs="Arial"/>
          <w:color w:val="010000"/>
          <w:sz w:val="20"/>
        </w:rPr>
        <w:t>TTr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/VCS-HDQT on approving the authorization for the Board of Directors to approve investment projects under the decision authorities of the </w:t>
      </w:r>
      <w:r w:rsidR="00855F7E">
        <w:rPr>
          <w:rFonts w:ascii="Arial" w:hAnsi="Arial" w:cs="Arial"/>
          <w:color w:val="010000"/>
          <w:sz w:val="20"/>
        </w:rPr>
        <w:t>General Meeting</w:t>
      </w:r>
      <w:r w:rsidRPr="0061468F">
        <w:rPr>
          <w:rFonts w:ascii="Arial" w:hAnsi="Arial" w:cs="Arial"/>
          <w:color w:val="010000"/>
          <w:sz w:val="20"/>
        </w:rPr>
        <w:t xml:space="preserve">, transactions and contracts signed between </w:t>
      </w:r>
      <w:proofErr w:type="spellStart"/>
      <w:r w:rsidRPr="0061468F">
        <w:rPr>
          <w:rFonts w:ascii="Arial" w:hAnsi="Arial" w:cs="Arial"/>
          <w:color w:val="010000"/>
          <w:sz w:val="20"/>
        </w:rPr>
        <w:t>Vicostone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 Joint Stock Company and related parties;</w:t>
      </w:r>
    </w:p>
    <w:p w14:paraId="00000014" w14:textId="77777777" w:rsidR="00D10400" w:rsidRPr="0061468F" w:rsidRDefault="00B8767E" w:rsidP="00855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Proposal No. 07/2024 </w:t>
      </w:r>
      <w:proofErr w:type="spellStart"/>
      <w:r w:rsidRPr="0061468F">
        <w:rPr>
          <w:rFonts w:ascii="Arial" w:hAnsi="Arial" w:cs="Arial"/>
          <w:color w:val="010000"/>
          <w:sz w:val="20"/>
        </w:rPr>
        <w:t>TTr</w:t>
      </w:r>
      <w:proofErr w:type="spellEnd"/>
      <w:r w:rsidRPr="0061468F">
        <w:rPr>
          <w:rFonts w:ascii="Arial" w:hAnsi="Arial" w:cs="Arial"/>
          <w:color w:val="010000"/>
          <w:sz w:val="20"/>
        </w:rPr>
        <w:t>/VCS-HDQT on approving the policy of receiving the transfer of the Project "Investment in building a factory to produce unsaturated Polyester plastic capable of withstanding UV radiation and weather resistance, applied in production of quartz-based artificial stone and other composite materials'';</w:t>
      </w:r>
    </w:p>
    <w:p w14:paraId="00000015" w14:textId="77777777" w:rsidR="00D10400" w:rsidRPr="0061468F" w:rsidRDefault="00B8767E" w:rsidP="0085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lastRenderedPageBreak/>
        <w:t>Draft Annual General Mandate 2024</w:t>
      </w:r>
    </w:p>
    <w:p w14:paraId="00000016" w14:textId="77777777" w:rsidR="00D10400" w:rsidRPr="0061468F" w:rsidRDefault="00B8767E" w:rsidP="00855F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>Additional documents</w:t>
      </w:r>
    </w:p>
    <w:p w14:paraId="00000017" w14:textId="7AFD3B28" w:rsidR="00D10400" w:rsidRPr="0061468F" w:rsidRDefault="00B8767E" w:rsidP="0085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Form of Invitation Notice for the </w:t>
      </w:r>
      <w:r w:rsidR="00855F7E">
        <w:rPr>
          <w:rFonts w:ascii="Arial" w:hAnsi="Arial" w:cs="Arial"/>
          <w:color w:val="010000"/>
          <w:sz w:val="20"/>
        </w:rPr>
        <w:t>General Meeting</w:t>
      </w:r>
    </w:p>
    <w:p w14:paraId="00000018" w14:textId="4EB52524" w:rsidR="00D10400" w:rsidRPr="0061468F" w:rsidRDefault="00B8767E" w:rsidP="0085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Form of Invitation Letter for the </w:t>
      </w:r>
      <w:r w:rsidR="00855F7E">
        <w:rPr>
          <w:rFonts w:ascii="Arial" w:hAnsi="Arial" w:cs="Arial"/>
          <w:color w:val="010000"/>
          <w:sz w:val="20"/>
        </w:rPr>
        <w:t>General Meeting</w:t>
      </w:r>
    </w:p>
    <w:p w14:paraId="00000019" w14:textId="4BF9A03D" w:rsidR="00D10400" w:rsidRPr="0061468F" w:rsidRDefault="00B8767E" w:rsidP="0085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Form of registration to attend the </w:t>
      </w:r>
      <w:r w:rsidR="00855F7E">
        <w:rPr>
          <w:rFonts w:ascii="Arial" w:hAnsi="Arial" w:cs="Arial"/>
          <w:color w:val="010000"/>
          <w:sz w:val="20"/>
        </w:rPr>
        <w:t>General Meeting</w:t>
      </w:r>
    </w:p>
    <w:p w14:paraId="0000001A" w14:textId="073E9ECA" w:rsidR="00D10400" w:rsidRPr="0061468F" w:rsidRDefault="00B8767E" w:rsidP="0085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Form of Authorization letter to attend the </w:t>
      </w:r>
      <w:r w:rsidR="00855F7E">
        <w:rPr>
          <w:rFonts w:ascii="Arial" w:hAnsi="Arial" w:cs="Arial"/>
          <w:color w:val="010000"/>
          <w:sz w:val="20"/>
        </w:rPr>
        <w:t>General Meeting</w:t>
      </w:r>
    </w:p>
    <w:p w14:paraId="0000001B" w14:textId="77777777" w:rsidR="00D10400" w:rsidRPr="0061468F" w:rsidRDefault="00B8767E" w:rsidP="0085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>Form of candidacy/nomination for members of the Board of Directors</w:t>
      </w:r>
    </w:p>
    <w:p w14:paraId="0000001C" w14:textId="77777777" w:rsidR="00D10400" w:rsidRPr="0061468F" w:rsidRDefault="00B8767E" w:rsidP="00855F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>Form of resume of candidates for the Board of Directors</w:t>
      </w:r>
    </w:p>
    <w:p w14:paraId="0000001E" w14:textId="3CFDE548" w:rsidR="00D10400" w:rsidRPr="0061468F" w:rsidRDefault="00B8767E" w:rsidP="00855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Article 3: Assign the Chair of the Board of Directors of the Company to direct relevant units to carry out further procedures and </w:t>
      </w:r>
      <w:r w:rsidR="0061468F" w:rsidRPr="0061468F">
        <w:rPr>
          <w:rFonts w:ascii="Arial" w:hAnsi="Arial" w:cs="Arial"/>
          <w:color w:val="010000"/>
          <w:sz w:val="20"/>
        </w:rPr>
        <w:t>ensure</w:t>
      </w:r>
      <w:r w:rsidRPr="0061468F">
        <w:rPr>
          <w:rFonts w:ascii="Arial" w:hAnsi="Arial" w:cs="Arial"/>
          <w:color w:val="010000"/>
          <w:sz w:val="20"/>
        </w:rPr>
        <w:t xml:space="preserve"> compliance with </w:t>
      </w:r>
      <w:r w:rsidR="00855F7E">
        <w:rPr>
          <w:rFonts w:ascii="Arial" w:hAnsi="Arial" w:cs="Arial"/>
          <w:color w:val="010000"/>
          <w:sz w:val="20"/>
        </w:rPr>
        <w:t>applicable laws</w:t>
      </w:r>
      <w:r w:rsidRPr="0061468F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1F" w14:textId="155A7A67" w:rsidR="00D10400" w:rsidRPr="0061468F" w:rsidRDefault="00B8767E" w:rsidP="00855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>Article 4: Mem</w:t>
      </w:r>
      <w:r w:rsidR="00855F7E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61468F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61468F">
        <w:rPr>
          <w:rFonts w:ascii="Arial" w:hAnsi="Arial" w:cs="Arial"/>
          <w:color w:val="010000"/>
          <w:sz w:val="20"/>
        </w:rPr>
        <w:t>Vicostone</w:t>
      </w:r>
      <w:proofErr w:type="spellEnd"/>
      <w:r w:rsidRPr="0061468F">
        <w:rPr>
          <w:rFonts w:ascii="Arial" w:hAnsi="Arial" w:cs="Arial"/>
          <w:color w:val="010000"/>
          <w:sz w:val="20"/>
        </w:rPr>
        <w:t xml:space="preserve"> Joint Stock Company and related units are responsible for implementing the contents stated in this Resolution.</w:t>
      </w:r>
    </w:p>
    <w:p w14:paraId="00000020" w14:textId="6073A4B1" w:rsidR="00D10400" w:rsidRPr="0061468F" w:rsidRDefault="00B8767E" w:rsidP="00855F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468F">
        <w:rPr>
          <w:rFonts w:ascii="Arial" w:hAnsi="Arial" w:cs="Arial"/>
          <w:color w:val="010000"/>
          <w:sz w:val="20"/>
        </w:rPr>
        <w:t xml:space="preserve">This </w:t>
      </w:r>
      <w:r w:rsidR="00855F7E">
        <w:rPr>
          <w:rFonts w:ascii="Arial" w:hAnsi="Arial" w:cs="Arial"/>
          <w:color w:val="010000"/>
          <w:sz w:val="20"/>
        </w:rPr>
        <w:t xml:space="preserve">Board </w:t>
      </w:r>
      <w:r w:rsidRPr="0061468F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D10400" w:rsidRPr="0061468F" w:rsidSect="00B8767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6BE"/>
    <w:multiLevelType w:val="multilevel"/>
    <w:tmpl w:val="DB2EF1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4B5469"/>
    <w:multiLevelType w:val="multilevel"/>
    <w:tmpl w:val="0A5474EE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E61949"/>
    <w:multiLevelType w:val="multilevel"/>
    <w:tmpl w:val="EEBAED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4F3C45"/>
    <w:multiLevelType w:val="multilevel"/>
    <w:tmpl w:val="AF0AAD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2E0C00"/>
    <w:multiLevelType w:val="multilevel"/>
    <w:tmpl w:val="38D6D9E6"/>
    <w:lvl w:ilvl="0">
      <w:start w:val="4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9B6CF2"/>
    <w:multiLevelType w:val="multilevel"/>
    <w:tmpl w:val="BDD8B1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C0075E"/>
    <w:multiLevelType w:val="multilevel"/>
    <w:tmpl w:val="9E1E77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113375"/>
    <w:multiLevelType w:val="multilevel"/>
    <w:tmpl w:val="329E25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00"/>
    <w:rsid w:val="0061468F"/>
    <w:rsid w:val="00855F7E"/>
    <w:rsid w:val="00B8767E"/>
    <w:rsid w:val="00D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98315"/>
  <w15:docId w15:val="{E78629FD-B326-4DD1-953B-02106940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60643"/>
      <w:sz w:val="44"/>
      <w:szCs w:val="4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060643"/>
      <w:sz w:val="44"/>
      <w:szCs w:val="44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62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ind w:left="93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93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ZxszJeqevtTC9Vpvoyu3US0fFA==">CgMxLjA4AHIhMXFLWExJSXpObGtmbVg3LWUxSm5NQjRyaFpSeWNBbmRZ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2024-03-27T03:52:00Z</dcterms:created>
  <dcterms:modified xsi:type="dcterms:W3CDTF">2024-03-27T03:52:00Z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44619b4de247d1cc791925e3d4b3f760b54f87dc923ecd1464e4919042b3951e</vt:lpwstr>
  </property>
</Properties>
</file>