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B6F2" w14:textId="0842EA81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E7021">
        <w:rPr>
          <w:rFonts w:ascii="Arial" w:hAnsi="Arial" w:cs="Arial"/>
          <w:b/>
          <w:color w:val="010000"/>
          <w:sz w:val="20"/>
        </w:rPr>
        <w:t>VNF: Annual General Mandate 2024</w:t>
      </w:r>
    </w:p>
    <w:p w14:paraId="6CD91EE7" w14:textId="53E8F859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AE7021">
        <w:rPr>
          <w:rFonts w:ascii="Arial" w:hAnsi="Arial" w:cs="Arial"/>
          <w:color w:val="010000"/>
          <w:sz w:val="20"/>
        </w:rPr>
        <w:t>Vinafreight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Joint Stock Company announced General Mandate No. 01/2024/NQ-DHDCD as follows: </w:t>
      </w:r>
    </w:p>
    <w:p w14:paraId="60837E93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1:</w:t>
      </w:r>
    </w:p>
    <w:p w14:paraId="2F9BB494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performance report 2023 and performance plan 2024 of the Board of Directors, Board of Managers, and the Supervisory Board.</w:t>
      </w:r>
    </w:p>
    <w:p w14:paraId="036B702E" w14:textId="77777777" w:rsidR="001A5B4C" w:rsidRPr="00AE7021" w:rsidRDefault="00AE7021" w:rsidP="007C69A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Production and business results in 2023:</w:t>
      </w:r>
    </w:p>
    <w:p w14:paraId="4BBB4317" w14:textId="4E5E3012" w:rsidR="001A5B4C" w:rsidRPr="00AE7021" w:rsidRDefault="00AE7021" w:rsidP="007C6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Total consolidated revenue: VND 1,136,358,537,141 (equal to 118.95% of the plan)</w:t>
      </w:r>
    </w:p>
    <w:p w14:paraId="6A09B3E7" w14:textId="77777777" w:rsidR="001A5B4C" w:rsidRPr="00AE7021" w:rsidRDefault="00AE7021" w:rsidP="007C6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Profit before tax: VND 18,354,868,239 million (equal to 35.02% of the plan)</w:t>
      </w:r>
    </w:p>
    <w:p w14:paraId="11478A00" w14:textId="77777777" w:rsidR="001A5B4C" w:rsidRPr="00AE7021" w:rsidRDefault="00AE7021" w:rsidP="007C6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Expected production and business plan for 2024:</w:t>
      </w:r>
    </w:p>
    <w:p w14:paraId="0085D6C1" w14:textId="69298D11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After consideration and calculation, the </w:t>
      </w:r>
      <w:r w:rsidR="007C69AD">
        <w:rPr>
          <w:rFonts w:ascii="Arial" w:hAnsi="Arial" w:cs="Arial"/>
          <w:color w:val="010000"/>
          <w:sz w:val="20"/>
        </w:rPr>
        <w:t>Executive Board</w:t>
      </w:r>
      <w:r w:rsidRPr="00AE7021">
        <w:rPr>
          <w:rFonts w:ascii="Arial" w:hAnsi="Arial" w:cs="Arial"/>
          <w:color w:val="010000"/>
          <w:sz w:val="20"/>
        </w:rPr>
        <w:t xml:space="preserve"> proposed the 2024 business plan as follows:</w:t>
      </w:r>
    </w:p>
    <w:p w14:paraId="298C58CC" w14:textId="3F15B907" w:rsidR="001A5B4C" w:rsidRPr="00AE7021" w:rsidRDefault="00AE7021" w:rsidP="007C6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Revenue: VND 1,195 billion.</w:t>
      </w:r>
    </w:p>
    <w:p w14:paraId="083743CF" w14:textId="77777777" w:rsidR="001A5B4C" w:rsidRPr="00AE7021" w:rsidRDefault="00AE7021" w:rsidP="007C6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Consolidated profit: VND 43.5 billion;</w:t>
      </w:r>
    </w:p>
    <w:p w14:paraId="4B3115EE" w14:textId="77777777" w:rsidR="001A5B4C" w:rsidRPr="00AE7021" w:rsidRDefault="00AE7021" w:rsidP="007C6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Dividend payment: 7%</w:t>
      </w:r>
    </w:p>
    <w:p w14:paraId="352336B9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2:</w:t>
      </w:r>
    </w:p>
    <w:p w14:paraId="22F71E8A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consolidated results of production and business activities in 2023.</w:t>
      </w:r>
    </w:p>
    <w:p w14:paraId="7D5B6AF9" w14:textId="223A2C67" w:rsidR="001A5B4C" w:rsidRPr="00AE7021" w:rsidRDefault="00AE7021" w:rsidP="007C6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Total consolidated revenue: VND 1,136,358,537,141 billion, equivalent to 118.95 % of the plan.</w:t>
      </w:r>
    </w:p>
    <w:p w14:paraId="3723C04E" w14:textId="0E670BBE" w:rsidR="001A5B4C" w:rsidRPr="00AE7021" w:rsidRDefault="00AE7021" w:rsidP="007C6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Profit before tax: VND 18,354,868,239 billion, equivalent to 35.02% of the plan.</w:t>
      </w:r>
    </w:p>
    <w:p w14:paraId="71952EE6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3:</w:t>
      </w:r>
    </w:p>
    <w:p w14:paraId="03352119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Audited Financial Statements 2023 of the Company.</w:t>
      </w:r>
    </w:p>
    <w:p w14:paraId="28437328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4:</w:t>
      </w:r>
    </w:p>
    <w:p w14:paraId="3EA58C6B" w14:textId="77777777" w:rsidR="001A5B4C" w:rsidRPr="00AE7021" w:rsidRDefault="00AE7021" w:rsidP="00AE702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Proposal on the profit distribution plan of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4130"/>
        <w:gridCol w:w="1230"/>
        <w:gridCol w:w="1769"/>
        <w:gridCol w:w="761"/>
      </w:tblGrid>
      <w:tr w:rsidR="001A5B4C" w:rsidRPr="00AE7021" w14:paraId="0E446DEE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8A8E7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A36D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E49A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CDA05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4D4CC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1A5B4C" w:rsidRPr="00AE7021" w14:paraId="041EC337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9F270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6AE9F" w14:textId="189328E8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Undistributed profit after tax as of December 31,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5CE05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D81DD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203,425,842,758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D247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74B047D7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3CB28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57D84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Transferred accumulated undistributed profit of 2022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D35CD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5D542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197,896,370,049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325F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2BC36EB0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10183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3C28C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B6B65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E950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5,529,472,709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AA48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2D610C48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A2A50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5E069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Expected profit distribution in 2023: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EC91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5C3B0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23,688,383,715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102B1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5246B8ED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0E0AC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8215E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Bonus and welfare fund, in which: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4E8C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37ED3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1,497,117,715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53ECB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4FE5E36F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4B5D" w14:textId="77777777" w:rsidR="001A5B4C" w:rsidRPr="00AE7021" w:rsidRDefault="001A5B4C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524DF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Bonus fund (5%)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4630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86348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831,732,064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5832C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30A1C7C7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2F8DC" w14:textId="77777777" w:rsidR="001A5B4C" w:rsidRPr="00AE7021" w:rsidRDefault="001A5B4C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1DA1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Welfare fund (4%)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8EA8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A9AD5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665,385,651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2AA08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4A4C9A88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9F316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F6C01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Pay dividends in cash to shareholders (7%)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F5A79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EB451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22,190,266,000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5187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5D86AA5A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14239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67759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Operating fund for the Board of Directors, the Supervisory Board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D67DF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6CE58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6FB61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5B4C" w:rsidRPr="00AE7021" w14:paraId="3F4EBE3E" w14:textId="77777777" w:rsidTr="00AE7021"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2310A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00728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Retained profit after distribution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F37B0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83095" w14:textId="77777777" w:rsidR="001A5B4C" w:rsidRPr="00AE7021" w:rsidRDefault="00AE7021" w:rsidP="00AE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7021">
              <w:rPr>
                <w:rFonts w:ascii="Arial" w:hAnsi="Arial" w:cs="Arial"/>
                <w:color w:val="010000"/>
                <w:sz w:val="20"/>
              </w:rPr>
              <w:t>179,737,459,043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C8F35" w14:textId="77777777" w:rsidR="001A5B4C" w:rsidRPr="00AE7021" w:rsidRDefault="001A5B4C" w:rsidP="00AE702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AE53022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5:</w:t>
      </w:r>
    </w:p>
    <w:p w14:paraId="5574597F" w14:textId="6094FA96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authorization for the Board of Directors to select an audit company for the Financial Statements 2024.</w:t>
      </w:r>
    </w:p>
    <w:p w14:paraId="6B9A5279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6:</w:t>
      </w:r>
    </w:p>
    <w:p w14:paraId="1A5AD708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Approve the Proposal on transactions between the Company and related parties.</w:t>
      </w:r>
    </w:p>
    <w:p w14:paraId="29F8171D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7:</w:t>
      </w:r>
    </w:p>
    <w:p w14:paraId="2D9B78C5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Approve the Proposal on changing the company's headquarters address from 1st Floor, Block C, </w:t>
      </w:r>
      <w:proofErr w:type="spellStart"/>
      <w:r w:rsidRPr="00AE7021">
        <w:rPr>
          <w:rFonts w:ascii="Arial" w:hAnsi="Arial" w:cs="Arial"/>
          <w:color w:val="010000"/>
          <w:sz w:val="20"/>
        </w:rPr>
        <w:t>Waseco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Building (No. 10 Pho Quang, Ward 2, Tan </w:t>
      </w:r>
      <w:proofErr w:type="spellStart"/>
      <w:r w:rsidRPr="00AE7021">
        <w:rPr>
          <w:rFonts w:ascii="Arial" w:hAnsi="Arial" w:cs="Arial"/>
          <w:color w:val="010000"/>
          <w:sz w:val="20"/>
        </w:rPr>
        <w:t>Binh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District, Ho Chi Minh City) to </w:t>
      </w:r>
      <w:proofErr w:type="spellStart"/>
      <w:r w:rsidRPr="00AE7021">
        <w:rPr>
          <w:rFonts w:ascii="Arial" w:hAnsi="Arial" w:cs="Arial"/>
          <w:color w:val="010000"/>
          <w:sz w:val="20"/>
        </w:rPr>
        <w:t>Phu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E7021">
        <w:rPr>
          <w:rFonts w:ascii="Arial" w:hAnsi="Arial" w:cs="Arial"/>
          <w:color w:val="010000"/>
          <w:sz w:val="20"/>
        </w:rPr>
        <w:t>Nhuan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Plaza building (No. 82 Tran </w:t>
      </w:r>
      <w:proofErr w:type="spellStart"/>
      <w:r w:rsidRPr="00AE7021">
        <w:rPr>
          <w:rFonts w:ascii="Arial" w:hAnsi="Arial" w:cs="Arial"/>
          <w:color w:val="010000"/>
          <w:sz w:val="20"/>
        </w:rPr>
        <w:t>Huy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Lieu, Ward 15, </w:t>
      </w:r>
      <w:proofErr w:type="spellStart"/>
      <w:r w:rsidRPr="00AE7021">
        <w:rPr>
          <w:rFonts w:ascii="Arial" w:hAnsi="Arial" w:cs="Arial"/>
          <w:color w:val="010000"/>
          <w:sz w:val="20"/>
        </w:rPr>
        <w:t>Phu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E7021">
        <w:rPr>
          <w:rFonts w:ascii="Arial" w:hAnsi="Arial" w:cs="Arial"/>
          <w:color w:val="010000"/>
          <w:sz w:val="20"/>
        </w:rPr>
        <w:t>Nhuan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District, Ho Chi Minh City). </w:t>
      </w:r>
    </w:p>
    <w:p w14:paraId="4074F11D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8:</w:t>
      </w:r>
    </w:p>
    <w:p w14:paraId="6152AD51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Approve the dismissal of Mr. Nguyen Ngoc </w:t>
      </w:r>
      <w:proofErr w:type="spellStart"/>
      <w:r w:rsidRPr="00AE7021">
        <w:rPr>
          <w:rFonts w:ascii="Arial" w:hAnsi="Arial" w:cs="Arial"/>
          <w:color w:val="010000"/>
          <w:sz w:val="20"/>
        </w:rPr>
        <w:t>Nhien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from the position of member of the Board of Directors for the 2022 - 2027 term according to personal wishes.</w:t>
      </w:r>
    </w:p>
    <w:p w14:paraId="3BCFD6B7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9:</w:t>
      </w:r>
    </w:p>
    <w:p w14:paraId="2F6CFF9A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Voting to elect Mr. Nguyen Anh Minh to the position of member of the Board of Directors for the 2022 - 2027 term to replace Mr. Nguyen Ngoc </w:t>
      </w:r>
      <w:proofErr w:type="spellStart"/>
      <w:r w:rsidRPr="00AE7021">
        <w:rPr>
          <w:rFonts w:ascii="Arial" w:hAnsi="Arial" w:cs="Arial"/>
          <w:color w:val="010000"/>
          <w:sz w:val="20"/>
        </w:rPr>
        <w:t>Nhien</w:t>
      </w:r>
      <w:proofErr w:type="spellEnd"/>
      <w:r w:rsidRPr="00AE7021">
        <w:rPr>
          <w:rFonts w:ascii="Arial" w:hAnsi="Arial" w:cs="Arial"/>
          <w:color w:val="010000"/>
          <w:sz w:val="20"/>
        </w:rPr>
        <w:t>.</w:t>
      </w:r>
    </w:p>
    <w:p w14:paraId="0396779D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10:</w:t>
      </w:r>
    </w:p>
    <w:p w14:paraId="3E776C25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Approve the dismissal of Mr. Nguyen Hai </w:t>
      </w:r>
      <w:proofErr w:type="spellStart"/>
      <w:r w:rsidRPr="00AE7021">
        <w:rPr>
          <w:rFonts w:ascii="Arial" w:hAnsi="Arial" w:cs="Arial"/>
          <w:color w:val="010000"/>
          <w:sz w:val="20"/>
        </w:rPr>
        <w:t>Nhat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from the position of member of the Supervisory Board for the 2022 - 2027 term according to his personal wishes.</w:t>
      </w:r>
    </w:p>
    <w:p w14:paraId="067CA46E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11</w:t>
      </w:r>
      <w:bookmarkStart w:id="1" w:name="_GoBack"/>
      <w:bookmarkEnd w:id="1"/>
      <w:r w:rsidRPr="00AE7021">
        <w:rPr>
          <w:rFonts w:ascii="Arial" w:hAnsi="Arial" w:cs="Arial"/>
          <w:color w:val="010000"/>
          <w:sz w:val="20"/>
        </w:rPr>
        <w:t>:</w:t>
      </w:r>
    </w:p>
    <w:p w14:paraId="76BCD365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Approve the dismissal of Ms. Phan Phuong </w:t>
      </w:r>
      <w:proofErr w:type="spellStart"/>
      <w:r w:rsidRPr="00AE7021">
        <w:rPr>
          <w:rFonts w:ascii="Arial" w:hAnsi="Arial" w:cs="Arial"/>
          <w:color w:val="010000"/>
          <w:sz w:val="20"/>
        </w:rPr>
        <w:t>Tuyen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from the position of member of the Supervisory Board for the 2022 - 2027 term according to personal wishes.</w:t>
      </w:r>
    </w:p>
    <w:p w14:paraId="4506B5D0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12:</w:t>
      </w:r>
    </w:p>
    <w:p w14:paraId="2D79CA99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Voting to elect Mr. Pham Xuan Quang to the position of member of the Supervisory Board for the 2022 - 2027 term.</w:t>
      </w:r>
    </w:p>
    <w:p w14:paraId="345E27D9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13:</w:t>
      </w:r>
    </w:p>
    <w:p w14:paraId="1B2B88A0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 xml:space="preserve">Voting to elect Ms. Tran Thi Van </w:t>
      </w:r>
      <w:proofErr w:type="spellStart"/>
      <w:r w:rsidRPr="00AE7021">
        <w:rPr>
          <w:rFonts w:ascii="Arial" w:hAnsi="Arial" w:cs="Arial"/>
          <w:color w:val="010000"/>
          <w:sz w:val="20"/>
        </w:rPr>
        <w:t>Tho</w:t>
      </w:r>
      <w:proofErr w:type="spellEnd"/>
      <w:r w:rsidRPr="00AE7021">
        <w:rPr>
          <w:rFonts w:ascii="Arial" w:hAnsi="Arial" w:cs="Arial"/>
          <w:color w:val="010000"/>
          <w:sz w:val="20"/>
        </w:rPr>
        <w:t xml:space="preserve"> to the position of member of the Supervisory Board for the 2022 </w:t>
      </w:r>
      <w:r w:rsidRPr="00AE7021">
        <w:rPr>
          <w:rFonts w:ascii="Arial" w:hAnsi="Arial" w:cs="Arial"/>
          <w:color w:val="010000"/>
          <w:sz w:val="20"/>
        </w:rPr>
        <w:lastRenderedPageBreak/>
        <w:t>- 2027 term.</w:t>
      </w:r>
    </w:p>
    <w:p w14:paraId="70251EF7" w14:textId="77777777" w:rsidR="001A5B4C" w:rsidRPr="00AE7021" w:rsidRDefault="00AE7021" w:rsidP="007C69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Article 14:</w:t>
      </w:r>
    </w:p>
    <w:p w14:paraId="5B21D673" w14:textId="77777777" w:rsidR="001A5B4C" w:rsidRPr="00AE7021" w:rsidRDefault="00AE7021" w:rsidP="007C69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7021">
        <w:rPr>
          <w:rFonts w:ascii="Arial" w:hAnsi="Arial" w:cs="Arial"/>
          <w:color w:val="010000"/>
          <w:sz w:val="20"/>
        </w:rPr>
        <w:t>Assign the Board of Directors to implement the General Mandate</w:t>
      </w:r>
    </w:p>
    <w:sectPr w:rsidR="001A5B4C" w:rsidRPr="00AE7021" w:rsidSect="00AE702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9C9"/>
    <w:multiLevelType w:val="multilevel"/>
    <w:tmpl w:val="AB7C32A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322D1F"/>
    <w:multiLevelType w:val="multilevel"/>
    <w:tmpl w:val="7472AA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E03DC9"/>
    <w:multiLevelType w:val="multilevel"/>
    <w:tmpl w:val="119E5F6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C"/>
    <w:rsid w:val="001A5B4C"/>
    <w:rsid w:val="007C69AD"/>
    <w:rsid w:val="00AE7021"/>
    <w:rsid w:val="00E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B00D4"/>
  <w15:docId w15:val="{FCD963A9-8B25-4C31-8BEA-0C885F2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1">
    <w:name w:val="Heading #3"/>
    <w:basedOn w:val="Normal"/>
    <w:link w:val="Heading30"/>
    <w:pPr>
      <w:spacing w:line="302" w:lineRule="auto"/>
      <w:ind w:firstLine="9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pPr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90" w:lineRule="auto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83" w:lineRule="auto"/>
      <w:ind w:left="320" w:hanging="3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57" w:lineRule="auto"/>
      <w:ind w:left="660" w:firstLine="4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S8IYWIWiG57vdvFN5GUukBhdA==">CgMxLjAyCGguZ2pkZ3hzOAByITEyU0NpSE1hYmliejFDaEJVU1ZDcU04ckczSGJxdU1aZw==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2024-03-28T03:24:00Z</dcterms:created>
  <dcterms:modified xsi:type="dcterms:W3CDTF">2024-03-28T03:24:00Z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ef21130b886da97e3d1bb5bb12a144df6bd03f434abc8d19a251044067fb8eb0</vt:lpwstr>
  </property>
</Properties>
</file>