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71CC" w14:textId="377CF8E9" w:rsidR="006C335C" w:rsidRPr="0003368C" w:rsidRDefault="008E4C01" w:rsidP="004C47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368C">
        <w:rPr>
          <w:rFonts w:ascii="Arial" w:hAnsi="Arial" w:cs="Arial"/>
          <w:b/>
          <w:color w:val="010000"/>
          <w:sz w:val="20"/>
        </w:rPr>
        <w:t xml:space="preserve">HIO: </w:t>
      </w:r>
      <w:r w:rsidR="004C479F">
        <w:rPr>
          <w:rFonts w:ascii="Arial" w:hAnsi="Arial" w:cs="Arial"/>
          <w:b/>
          <w:color w:val="010000"/>
          <w:sz w:val="20"/>
        </w:rPr>
        <w:t xml:space="preserve">Explanation on difference in </w:t>
      </w:r>
      <w:r w:rsidR="0003368C" w:rsidRPr="0003368C">
        <w:rPr>
          <w:rFonts w:ascii="Arial" w:hAnsi="Arial" w:cs="Arial"/>
          <w:b/>
          <w:color w:val="010000"/>
          <w:sz w:val="20"/>
        </w:rPr>
        <w:t>product</w:t>
      </w:r>
      <w:r w:rsidR="004C479F">
        <w:rPr>
          <w:rFonts w:ascii="Arial" w:hAnsi="Arial" w:cs="Arial"/>
          <w:b/>
          <w:color w:val="010000"/>
          <w:sz w:val="20"/>
        </w:rPr>
        <w:t xml:space="preserve">ion and business results in </w:t>
      </w:r>
      <w:r w:rsidR="0003368C" w:rsidRPr="0003368C">
        <w:rPr>
          <w:rFonts w:ascii="Arial" w:hAnsi="Arial" w:cs="Arial"/>
          <w:b/>
          <w:color w:val="010000"/>
          <w:sz w:val="20"/>
        </w:rPr>
        <w:t>Consolidated Financial Statements 2023</w:t>
      </w:r>
    </w:p>
    <w:p w14:paraId="35E4798C" w14:textId="5AB32973" w:rsidR="006C335C" w:rsidRPr="0003368C" w:rsidRDefault="008E4C01" w:rsidP="004C47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68C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03368C">
        <w:rPr>
          <w:rFonts w:ascii="Arial" w:hAnsi="Arial" w:cs="Arial"/>
          <w:color w:val="010000"/>
          <w:sz w:val="20"/>
        </w:rPr>
        <w:t>Helio</w:t>
      </w:r>
      <w:proofErr w:type="spellEnd"/>
      <w:r w:rsidRPr="0003368C">
        <w:rPr>
          <w:rFonts w:ascii="Arial" w:hAnsi="Arial" w:cs="Arial"/>
          <w:color w:val="010000"/>
          <w:sz w:val="20"/>
        </w:rPr>
        <w:t xml:space="preserve"> Energy Joint Stock Company announced Official Dispatch No. 04/2024/CV-HIO on explaining the difference in production and business results in the Consolidated </w:t>
      </w:r>
      <w:r w:rsidR="0003368C" w:rsidRPr="0003368C">
        <w:rPr>
          <w:rFonts w:ascii="Arial" w:hAnsi="Arial" w:cs="Arial"/>
          <w:color w:val="010000"/>
          <w:sz w:val="20"/>
        </w:rPr>
        <w:t>Financial Statements 20</w:t>
      </w:r>
      <w:r w:rsidRPr="0003368C">
        <w:rPr>
          <w:rFonts w:ascii="Arial" w:hAnsi="Arial" w:cs="Arial"/>
          <w:color w:val="010000"/>
          <w:sz w:val="20"/>
        </w:rPr>
        <w:t>23 as follows:</w:t>
      </w:r>
    </w:p>
    <w:p w14:paraId="1917D2EB" w14:textId="77777777" w:rsidR="006C335C" w:rsidRPr="0003368C" w:rsidRDefault="008E4C01" w:rsidP="008E4C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3368C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675"/>
        <w:gridCol w:w="2290"/>
        <w:gridCol w:w="1684"/>
        <w:gridCol w:w="1549"/>
        <w:gridCol w:w="1544"/>
        <w:gridCol w:w="1275"/>
      </w:tblGrid>
      <w:tr w:rsidR="006C335C" w:rsidRPr="0003368C" w14:paraId="03FE7DBA" w14:textId="77777777" w:rsidTr="008E4C01"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339CB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CF1F9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B8D0A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E7939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D4936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Compared to the same period</w:t>
            </w:r>
          </w:p>
        </w:tc>
      </w:tr>
      <w:tr w:rsidR="006C335C" w:rsidRPr="0003368C" w14:paraId="1CCE858C" w14:textId="77777777" w:rsidTr="008E4C01"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0BA1" w14:textId="77777777" w:rsidR="006C335C" w:rsidRPr="0003368C" w:rsidRDefault="006C335C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D0F22" w14:textId="77777777" w:rsidR="006C335C" w:rsidRPr="0003368C" w:rsidRDefault="006C335C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A578E" w14:textId="77777777" w:rsidR="006C335C" w:rsidRPr="0003368C" w:rsidRDefault="006C335C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DB202" w14:textId="77777777" w:rsidR="006C335C" w:rsidRPr="0003368C" w:rsidRDefault="006C335C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2E540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178A8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6C335C" w:rsidRPr="0003368C" w14:paraId="05B7B6B2" w14:textId="77777777" w:rsidTr="008E4C01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60E65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31DEB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FA96B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10,073,522,348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36109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6,340,210,507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E7714" w14:textId="69DC9823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3,733,311,841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B07D2" w14:textId="77777777" w:rsidR="006C335C" w:rsidRPr="0003368C" w:rsidRDefault="008E4C01" w:rsidP="008E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3368C">
              <w:rPr>
                <w:rFonts w:ascii="Arial" w:hAnsi="Arial" w:cs="Arial"/>
                <w:color w:val="010000"/>
                <w:sz w:val="20"/>
              </w:rPr>
              <w:t>58.88%</w:t>
            </w:r>
          </w:p>
        </w:tc>
      </w:tr>
    </w:tbl>
    <w:p w14:paraId="73E86F00" w14:textId="4F4CE04A" w:rsidR="006C335C" w:rsidRDefault="008E4C01" w:rsidP="004C47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3368C">
        <w:rPr>
          <w:rFonts w:ascii="Arial" w:hAnsi="Arial" w:cs="Arial"/>
          <w:color w:val="010000"/>
          <w:sz w:val="20"/>
        </w:rPr>
        <w:t xml:space="preserve">In 2023, the Company recorded </w:t>
      </w:r>
      <w:r w:rsidR="0003368C" w:rsidRPr="0003368C">
        <w:rPr>
          <w:rFonts w:ascii="Arial" w:hAnsi="Arial" w:cs="Arial"/>
          <w:color w:val="010000"/>
          <w:sz w:val="20"/>
        </w:rPr>
        <w:t>a</w:t>
      </w:r>
      <w:r w:rsidRPr="0003368C">
        <w:rPr>
          <w:rFonts w:ascii="Arial" w:hAnsi="Arial" w:cs="Arial"/>
          <w:color w:val="010000"/>
          <w:sz w:val="20"/>
        </w:rPr>
        <w:t xml:space="preserve"> profit after tax of VND 10,073,522,348, </w:t>
      </w:r>
      <w:r w:rsidR="0003368C" w:rsidRPr="0003368C">
        <w:rPr>
          <w:rFonts w:ascii="Arial" w:hAnsi="Arial" w:cs="Arial"/>
          <w:color w:val="010000"/>
          <w:sz w:val="20"/>
        </w:rPr>
        <w:t xml:space="preserve">which </w:t>
      </w:r>
      <w:r w:rsidRPr="0003368C">
        <w:rPr>
          <w:rFonts w:ascii="Arial" w:hAnsi="Arial" w:cs="Arial"/>
          <w:color w:val="010000"/>
          <w:sz w:val="20"/>
        </w:rPr>
        <w:t>increased by 58.88% compared to that in 2022 The above difference</w:t>
      </w:r>
      <w:r w:rsidR="004C479F">
        <w:rPr>
          <w:rFonts w:ascii="Arial" w:hAnsi="Arial" w:cs="Arial"/>
          <w:color w:val="010000"/>
          <w:sz w:val="20"/>
        </w:rPr>
        <w:t xml:space="preserve"> in business results mainly due</w:t>
      </w:r>
      <w:r w:rsidRPr="0003368C">
        <w:rPr>
          <w:rFonts w:ascii="Arial" w:hAnsi="Arial" w:cs="Arial"/>
          <w:color w:val="010000"/>
          <w:sz w:val="20"/>
        </w:rPr>
        <w:t xml:space="preserve"> to the expansion of the Company’s electricity production scale, from 30.2Mwp to 38.2Mwp, from mid-2022 and the expansion of other production and business activities Specifically, in 2023, the Company recorded a revenue from goods sales and service provisions o</w:t>
      </w:r>
      <w:r w:rsidR="004C479F">
        <w:rPr>
          <w:rFonts w:ascii="Arial" w:hAnsi="Arial" w:cs="Arial"/>
          <w:color w:val="010000"/>
          <w:sz w:val="20"/>
        </w:rPr>
        <w:t>f VND 124,049,023,312 (increasing</w:t>
      </w:r>
      <w:r w:rsidRPr="0003368C">
        <w:rPr>
          <w:rFonts w:ascii="Arial" w:hAnsi="Arial" w:cs="Arial"/>
          <w:color w:val="010000"/>
          <w:sz w:val="20"/>
        </w:rPr>
        <w:t xml:space="preserve"> by VND 21,842,508,425 compared to that in 2022 - equivalent to an increase of 21.37%), in which the revenue from selling electricity increased by 10.52%, revenue from consulting service increased by 190.93% The cost of goods sold recorded in 2023 was VND 70,174,440,178 (increased by VND 11,657,953,200 - equivalent to an increase of 19.92%), in which the cost of goods sold of electricity increased by 9.44%, the cost of goods sold of consulting service increased by 436.51%</w:t>
      </w:r>
    </w:p>
    <w:p w14:paraId="3BC45EF2" w14:textId="3BD936FE" w:rsidR="00B721EE" w:rsidRPr="00FF6C00" w:rsidRDefault="004C479F" w:rsidP="004C47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For these aforementioned</w:t>
      </w:r>
      <w:bookmarkStart w:id="0" w:name="_GoBack"/>
      <w:bookmarkEnd w:id="0"/>
      <w:r w:rsidR="00B721EE">
        <w:rPr>
          <w:rFonts w:ascii="Arial" w:hAnsi="Arial" w:cs="Arial"/>
          <w:color w:val="010000"/>
          <w:sz w:val="20"/>
        </w:rPr>
        <w:t xml:space="preserve"> reasons, the general business results of the Company record a profit after tax in 2023 increasing by VND 3,773,311,841 compared to 2022.</w:t>
      </w:r>
    </w:p>
    <w:p w14:paraId="21F2F30E" w14:textId="77777777" w:rsidR="00B721EE" w:rsidRPr="0003368C" w:rsidRDefault="00B721EE" w:rsidP="004C47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721EE" w:rsidRPr="0003368C" w:rsidSect="008E4C0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C"/>
    <w:rsid w:val="0003368C"/>
    <w:rsid w:val="004C479F"/>
    <w:rsid w:val="006C335C"/>
    <w:rsid w:val="008E4C01"/>
    <w:rsid w:val="00B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C9D3A"/>
  <w15:docId w15:val="{4BD0080E-3748-4504-AD11-706DE35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4dCY953TBa83hsT4MmGOX/dbIg==">CgMxLjA4AHIhMVRnSjNNTURKa3BLR0FZcWxKNU9xRHVrMy1KMm02T09n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2024-03-29T03:18:00Z</dcterms:created>
  <dcterms:modified xsi:type="dcterms:W3CDTF">2024-03-29T03:18:00Z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fa9c620718c2d8fa1e4dddfa17bb5526224114753b259e3eadd119e8f78cb409</vt:lpwstr>
  </property>
</Properties>
</file>