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AF2E" w14:textId="3CDB646C" w:rsidR="00EB224D" w:rsidRPr="00FF6C00" w:rsidRDefault="00D02510" w:rsidP="00D02510">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 xml:space="preserve">HIO: Explanation on difference in </w:t>
      </w:r>
      <w:r w:rsidR="00E54F48" w:rsidRPr="00FF6C00">
        <w:rPr>
          <w:rFonts w:ascii="Arial" w:hAnsi="Arial" w:cs="Arial"/>
          <w:b/>
          <w:color w:val="010000"/>
          <w:sz w:val="20"/>
        </w:rPr>
        <w:t>product</w:t>
      </w:r>
      <w:r>
        <w:rPr>
          <w:rFonts w:ascii="Arial" w:hAnsi="Arial" w:cs="Arial"/>
          <w:b/>
          <w:color w:val="010000"/>
          <w:sz w:val="20"/>
        </w:rPr>
        <w:t xml:space="preserve">ion and business results in </w:t>
      </w:r>
      <w:r w:rsidR="00E54F48" w:rsidRPr="00FF6C00">
        <w:rPr>
          <w:rFonts w:ascii="Arial" w:hAnsi="Arial" w:cs="Arial"/>
          <w:b/>
          <w:color w:val="010000"/>
          <w:sz w:val="20"/>
        </w:rPr>
        <w:t xml:space="preserve">Separate </w:t>
      </w:r>
      <w:r w:rsidR="00FF6C00" w:rsidRPr="00FF6C00">
        <w:rPr>
          <w:rFonts w:ascii="Arial" w:hAnsi="Arial" w:cs="Arial"/>
          <w:b/>
          <w:color w:val="010000"/>
          <w:sz w:val="20"/>
        </w:rPr>
        <w:t xml:space="preserve">Financial Statements </w:t>
      </w:r>
      <w:r w:rsidR="00E54F48" w:rsidRPr="00FF6C00">
        <w:rPr>
          <w:rFonts w:ascii="Arial" w:hAnsi="Arial" w:cs="Arial"/>
          <w:b/>
          <w:color w:val="010000"/>
          <w:sz w:val="20"/>
        </w:rPr>
        <w:t>2023</w:t>
      </w:r>
    </w:p>
    <w:p w14:paraId="35E07105" w14:textId="47A84FE3" w:rsidR="00EB224D" w:rsidRPr="00FF6C00" w:rsidRDefault="00E54F48" w:rsidP="00D02510">
      <w:pPr>
        <w:pBdr>
          <w:top w:val="nil"/>
          <w:left w:val="nil"/>
          <w:bottom w:val="nil"/>
          <w:right w:val="nil"/>
          <w:between w:val="nil"/>
        </w:pBdr>
        <w:spacing w:after="120" w:line="360" w:lineRule="auto"/>
        <w:jc w:val="both"/>
        <w:rPr>
          <w:rFonts w:ascii="Arial" w:eastAsia="Arial" w:hAnsi="Arial" w:cs="Arial"/>
          <w:color w:val="010000"/>
          <w:sz w:val="20"/>
          <w:szCs w:val="20"/>
        </w:rPr>
      </w:pPr>
      <w:r w:rsidRPr="00FF6C00">
        <w:rPr>
          <w:rFonts w:ascii="Arial" w:hAnsi="Arial" w:cs="Arial"/>
          <w:color w:val="010000"/>
          <w:sz w:val="20"/>
        </w:rPr>
        <w:t xml:space="preserve">On March 26, 2024, </w:t>
      </w:r>
      <w:proofErr w:type="spellStart"/>
      <w:r w:rsidRPr="00FF6C00">
        <w:rPr>
          <w:rFonts w:ascii="Arial" w:hAnsi="Arial" w:cs="Arial"/>
          <w:color w:val="010000"/>
          <w:sz w:val="20"/>
        </w:rPr>
        <w:t>Helio</w:t>
      </w:r>
      <w:proofErr w:type="spellEnd"/>
      <w:r w:rsidRPr="00FF6C00">
        <w:rPr>
          <w:rFonts w:ascii="Arial" w:hAnsi="Arial" w:cs="Arial"/>
          <w:color w:val="010000"/>
          <w:sz w:val="20"/>
        </w:rPr>
        <w:t xml:space="preserve"> Energy Joint Stock Company announced Official Dispatch No. 03/2024/CV-HIO on explaining the diff</w:t>
      </w:r>
      <w:r w:rsidR="00D02510">
        <w:rPr>
          <w:rFonts w:ascii="Arial" w:hAnsi="Arial" w:cs="Arial"/>
          <w:color w:val="010000"/>
          <w:sz w:val="20"/>
        </w:rPr>
        <w:t>e</w:t>
      </w:r>
      <w:r w:rsidRPr="00FF6C00">
        <w:rPr>
          <w:rFonts w:ascii="Arial" w:hAnsi="Arial" w:cs="Arial"/>
          <w:color w:val="010000"/>
          <w:sz w:val="20"/>
        </w:rPr>
        <w:t xml:space="preserve">rence in the production and business results in the Separate </w:t>
      </w:r>
      <w:r w:rsidR="00FF6C00" w:rsidRPr="00FF6C00">
        <w:rPr>
          <w:rFonts w:ascii="Arial" w:hAnsi="Arial" w:cs="Arial"/>
          <w:color w:val="010000"/>
          <w:sz w:val="20"/>
        </w:rPr>
        <w:t xml:space="preserve">Financial Statements </w:t>
      </w:r>
      <w:r w:rsidRPr="00FF6C00">
        <w:rPr>
          <w:rFonts w:ascii="Arial" w:hAnsi="Arial" w:cs="Arial"/>
          <w:color w:val="010000"/>
          <w:sz w:val="20"/>
        </w:rPr>
        <w:t>2023 as follows:</w:t>
      </w:r>
    </w:p>
    <w:p w14:paraId="7E5CA9A6" w14:textId="77777777" w:rsidR="00EB224D" w:rsidRPr="00FF6C00" w:rsidRDefault="00E54F48" w:rsidP="00E54F48">
      <w:pPr>
        <w:pBdr>
          <w:top w:val="nil"/>
          <w:left w:val="nil"/>
          <w:bottom w:val="nil"/>
          <w:right w:val="nil"/>
          <w:between w:val="nil"/>
        </w:pBdr>
        <w:spacing w:after="120" w:line="360" w:lineRule="auto"/>
        <w:rPr>
          <w:rFonts w:ascii="Arial" w:eastAsia="Arial" w:hAnsi="Arial" w:cs="Arial"/>
          <w:color w:val="010000"/>
          <w:sz w:val="20"/>
          <w:szCs w:val="20"/>
        </w:rPr>
      </w:pPr>
      <w:r w:rsidRPr="00FF6C00">
        <w:rPr>
          <w:rFonts w:ascii="Arial" w:hAnsi="Arial" w:cs="Arial"/>
          <w:color w:val="010000"/>
          <w:sz w:val="20"/>
        </w:rPr>
        <w:t>Unit: VND</w:t>
      </w:r>
    </w:p>
    <w:tbl>
      <w:tblPr>
        <w:tblStyle w:val="a"/>
        <w:tblW w:w="5000" w:type="pct"/>
        <w:tblLook w:val="0000" w:firstRow="0" w:lastRow="0" w:firstColumn="0" w:lastColumn="0" w:noHBand="0" w:noVBand="0"/>
      </w:tblPr>
      <w:tblGrid>
        <w:gridCol w:w="678"/>
        <w:gridCol w:w="2417"/>
        <w:gridCol w:w="1630"/>
        <w:gridCol w:w="1583"/>
        <w:gridCol w:w="1576"/>
        <w:gridCol w:w="1133"/>
      </w:tblGrid>
      <w:tr w:rsidR="00EB224D" w:rsidRPr="00FF6C00" w14:paraId="08126371" w14:textId="77777777" w:rsidTr="00E54F48">
        <w:tc>
          <w:tcPr>
            <w:tcW w:w="376" w:type="pct"/>
            <w:vMerge w:val="restart"/>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43E54788"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No.</w:t>
            </w:r>
          </w:p>
        </w:tc>
        <w:tc>
          <w:tcPr>
            <w:tcW w:w="1340" w:type="pct"/>
            <w:vMerge w:val="restart"/>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4DF5FA8E"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Targets</w:t>
            </w:r>
          </w:p>
        </w:tc>
        <w:tc>
          <w:tcPr>
            <w:tcW w:w="904" w:type="pct"/>
            <w:vMerge w:val="restart"/>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709A04BB"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In 2023</w:t>
            </w:r>
          </w:p>
        </w:tc>
        <w:tc>
          <w:tcPr>
            <w:tcW w:w="878" w:type="pct"/>
            <w:vMerge w:val="restart"/>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5FB47065"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In 2022</w:t>
            </w:r>
          </w:p>
        </w:tc>
        <w:tc>
          <w:tcPr>
            <w:tcW w:w="1502" w:type="pct"/>
            <w:gridSpan w:val="2"/>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14:paraId="2848B347"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Compared to the same period</w:t>
            </w:r>
          </w:p>
        </w:tc>
      </w:tr>
      <w:tr w:rsidR="00EB224D" w:rsidRPr="00FF6C00" w14:paraId="1942CFEA" w14:textId="77777777" w:rsidTr="00E54F48">
        <w:tc>
          <w:tcPr>
            <w:tcW w:w="376" w:type="pct"/>
            <w:vMerge/>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447DA5D1" w14:textId="77777777" w:rsidR="00EB224D" w:rsidRPr="00FF6C00" w:rsidRDefault="00EB224D" w:rsidP="00E54F48">
            <w:pPr>
              <w:pBdr>
                <w:top w:val="nil"/>
                <w:left w:val="nil"/>
                <w:bottom w:val="nil"/>
                <w:right w:val="nil"/>
                <w:between w:val="nil"/>
              </w:pBdr>
              <w:spacing w:after="120" w:line="360" w:lineRule="auto"/>
              <w:rPr>
                <w:rFonts w:ascii="Arial" w:eastAsia="Arial" w:hAnsi="Arial" w:cs="Arial"/>
                <w:color w:val="010000"/>
                <w:sz w:val="20"/>
                <w:szCs w:val="20"/>
              </w:rPr>
            </w:pPr>
          </w:p>
        </w:tc>
        <w:tc>
          <w:tcPr>
            <w:tcW w:w="1340" w:type="pct"/>
            <w:vMerge/>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234F0C82" w14:textId="77777777" w:rsidR="00EB224D" w:rsidRPr="00FF6C00" w:rsidRDefault="00EB224D" w:rsidP="00E54F48">
            <w:pPr>
              <w:pBdr>
                <w:top w:val="nil"/>
                <w:left w:val="nil"/>
                <w:bottom w:val="nil"/>
                <w:right w:val="nil"/>
                <w:between w:val="nil"/>
              </w:pBdr>
              <w:spacing w:after="120" w:line="360" w:lineRule="auto"/>
              <w:rPr>
                <w:rFonts w:ascii="Arial" w:eastAsia="Arial" w:hAnsi="Arial" w:cs="Arial"/>
                <w:color w:val="010000"/>
                <w:sz w:val="20"/>
                <w:szCs w:val="20"/>
              </w:rPr>
            </w:pPr>
          </w:p>
        </w:tc>
        <w:tc>
          <w:tcPr>
            <w:tcW w:w="904" w:type="pct"/>
            <w:vMerge/>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2A9F98F1" w14:textId="77777777" w:rsidR="00EB224D" w:rsidRPr="00FF6C00" w:rsidRDefault="00EB224D" w:rsidP="00E54F48">
            <w:pPr>
              <w:pBdr>
                <w:top w:val="nil"/>
                <w:left w:val="nil"/>
                <w:bottom w:val="nil"/>
                <w:right w:val="nil"/>
                <w:between w:val="nil"/>
              </w:pBdr>
              <w:spacing w:after="120" w:line="360" w:lineRule="auto"/>
              <w:rPr>
                <w:rFonts w:ascii="Arial" w:eastAsia="Arial" w:hAnsi="Arial" w:cs="Arial"/>
                <w:color w:val="010000"/>
                <w:sz w:val="20"/>
                <w:szCs w:val="20"/>
              </w:rPr>
            </w:pPr>
          </w:p>
        </w:tc>
        <w:tc>
          <w:tcPr>
            <w:tcW w:w="878" w:type="pct"/>
            <w:vMerge/>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47BB147E" w14:textId="77777777" w:rsidR="00EB224D" w:rsidRPr="00FF6C00" w:rsidRDefault="00EB224D" w:rsidP="00E54F48">
            <w:pPr>
              <w:pBdr>
                <w:top w:val="nil"/>
                <w:left w:val="nil"/>
                <w:bottom w:val="nil"/>
                <w:right w:val="nil"/>
                <w:between w:val="nil"/>
              </w:pBdr>
              <w:spacing w:after="120" w:line="360" w:lineRule="auto"/>
              <w:rPr>
                <w:rFonts w:ascii="Arial" w:eastAsia="Arial" w:hAnsi="Arial" w:cs="Arial"/>
                <w:color w:val="010000"/>
                <w:sz w:val="20"/>
                <w:szCs w:val="20"/>
              </w:rPr>
            </w:pPr>
          </w:p>
        </w:tc>
        <w:tc>
          <w:tcPr>
            <w:tcW w:w="874" w:type="pct"/>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14:paraId="6F0DEF6D"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Difference</w:t>
            </w:r>
          </w:p>
        </w:tc>
        <w:tc>
          <w:tcPr>
            <w:tcW w:w="628" w:type="pct"/>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14:paraId="04A717A5"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Rate (%)</w:t>
            </w:r>
          </w:p>
        </w:tc>
      </w:tr>
      <w:tr w:rsidR="00EB224D" w:rsidRPr="00FF6C00" w14:paraId="2129A7C6" w14:textId="77777777" w:rsidTr="00E54F48">
        <w:tc>
          <w:tcPr>
            <w:tcW w:w="376" w:type="pct"/>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tcPr>
          <w:p w14:paraId="332EF59D"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1</w:t>
            </w:r>
          </w:p>
        </w:tc>
        <w:tc>
          <w:tcPr>
            <w:tcW w:w="1340" w:type="pct"/>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tcPr>
          <w:p w14:paraId="2B9144F4"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Profit after tax</w:t>
            </w:r>
          </w:p>
        </w:tc>
        <w:tc>
          <w:tcPr>
            <w:tcW w:w="904" w:type="pct"/>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tcPr>
          <w:p w14:paraId="7F0F11F7"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4,841,473,923</w:t>
            </w:r>
          </w:p>
        </w:tc>
        <w:tc>
          <w:tcPr>
            <w:tcW w:w="878" w:type="pct"/>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tcPr>
          <w:p w14:paraId="00311BF5"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3,791,752,364</w:t>
            </w:r>
          </w:p>
        </w:tc>
        <w:tc>
          <w:tcPr>
            <w:tcW w:w="874" w:type="pct"/>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tcPr>
          <w:p w14:paraId="770A36C7"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1,049,721,559</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E47A03" w14:textId="77777777" w:rsidR="00EB224D" w:rsidRPr="00FF6C00" w:rsidRDefault="00E54F48" w:rsidP="00E54F48">
            <w:pPr>
              <w:widowControl/>
              <w:spacing w:after="120" w:line="360" w:lineRule="auto"/>
              <w:rPr>
                <w:rFonts w:ascii="Arial" w:eastAsia="Arial" w:hAnsi="Arial" w:cs="Arial"/>
                <w:color w:val="010000"/>
                <w:sz w:val="20"/>
                <w:szCs w:val="20"/>
              </w:rPr>
            </w:pPr>
            <w:r w:rsidRPr="00FF6C00">
              <w:rPr>
                <w:rFonts w:ascii="Arial" w:hAnsi="Arial" w:cs="Arial"/>
                <w:color w:val="010000"/>
                <w:sz w:val="20"/>
              </w:rPr>
              <w:t>27.68%</w:t>
            </w:r>
          </w:p>
        </w:tc>
      </w:tr>
    </w:tbl>
    <w:p w14:paraId="561612DF" w14:textId="048B7B49" w:rsidR="00EB224D" w:rsidRPr="00FF6C00" w:rsidRDefault="00E54F48" w:rsidP="00D02510">
      <w:pPr>
        <w:pBdr>
          <w:top w:val="nil"/>
          <w:left w:val="nil"/>
          <w:bottom w:val="nil"/>
          <w:right w:val="nil"/>
          <w:between w:val="nil"/>
        </w:pBdr>
        <w:spacing w:after="120" w:line="360" w:lineRule="auto"/>
        <w:jc w:val="both"/>
        <w:rPr>
          <w:rFonts w:ascii="Arial" w:eastAsia="Arial" w:hAnsi="Arial" w:cs="Arial"/>
          <w:color w:val="010000"/>
          <w:sz w:val="20"/>
          <w:szCs w:val="20"/>
        </w:rPr>
      </w:pPr>
      <w:r w:rsidRPr="00FF6C00">
        <w:rPr>
          <w:rFonts w:ascii="Arial" w:hAnsi="Arial" w:cs="Arial"/>
          <w:color w:val="010000"/>
          <w:sz w:val="20"/>
        </w:rPr>
        <w:t xml:space="preserve">In 2023, the Company recorded </w:t>
      </w:r>
      <w:r w:rsidR="00FF6C00" w:rsidRPr="00FF6C00">
        <w:rPr>
          <w:rFonts w:ascii="Arial" w:hAnsi="Arial" w:cs="Arial"/>
          <w:color w:val="010000"/>
          <w:sz w:val="20"/>
        </w:rPr>
        <w:t>a</w:t>
      </w:r>
      <w:r w:rsidRPr="00FF6C00">
        <w:rPr>
          <w:rFonts w:ascii="Arial" w:hAnsi="Arial" w:cs="Arial"/>
          <w:color w:val="010000"/>
          <w:sz w:val="20"/>
        </w:rPr>
        <w:t xml:space="preserve"> profit after tax of VND 4,841,473,923, </w:t>
      </w:r>
      <w:r w:rsidR="00FF6C00" w:rsidRPr="00FF6C00">
        <w:rPr>
          <w:rFonts w:ascii="Arial" w:hAnsi="Arial" w:cs="Arial"/>
          <w:color w:val="010000"/>
          <w:sz w:val="20"/>
        </w:rPr>
        <w:t xml:space="preserve">which </w:t>
      </w:r>
      <w:r w:rsidRPr="00FF6C00">
        <w:rPr>
          <w:rFonts w:ascii="Arial" w:hAnsi="Arial" w:cs="Arial"/>
          <w:color w:val="010000"/>
          <w:sz w:val="20"/>
        </w:rPr>
        <w:t xml:space="preserve">increased by 27.68% </w:t>
      </w:r>
      <w:r w:rsidR="00D02510">
        <w:rPr>
          <w:rFonts w:ascii="Arial" w:hAnsi="Arial" w:cs="Arial"/>
          <w:color w:val="010000"/>
          <w:sz w:val="20"/>
        </w:rPr>
        <w:t>year-on-year</w:t>
      </w:r>
      <w:r w:rsidRPr="00FF6C00">
        <w:rPr>
          <w:rFonts w:ascii="Arial" w:hAnsi="Arial" w:cs="Arial"/>
          <w:color w:val="010000"/>
          <w:sz w:val="20"/>
        </w:rPr>
        <w:t xml:space="preserve"> The above difference in business results mainly comes from the growth in revenue from selling goods and providing service</w:t>
      </w:r>
      <w:r w:rsidR="00FF6C00" w:rsidRPr="00FF6C00">
        <w:rPr>
          <w:rFonts w:ascii="Arial" w:hAnsi="Arial" w:cs="Arial"/>
          <w:color w:val="010000"/>
          <w:sz w:val="20"/>
        </w:rPr>
        <w:t>.</w:t>
      </w:r>
      <w:r w:rsidRPr="00FF6C00">
        <w:rPr>
          <w:rFonts w:ascii="Arial" w:hAnsi="Arial" w:cs="Arial"/>
          <w:color w:val="010000"/>
          <w:sz w:val="20"/>
        </w:rPr>
        <w:t xml:space="preserve"> </w:t>
      </w:r>
      <w:r w:rsidR="00FF6C00" w:rsidRPr="00FF6C00">
        <w:rPr>
          <w:rFonts w:ascii="Arial" w:hAnsi="Arial" w:cs="Arial"/>
          <w:color w:val="010000"/>
          <w:sz w:val="20"/>
        </w:rPr>
        <w:t>During</w:t>
      </w:r>
      <w:r w:rsidRPr="00FF6C00">
        <w:rPr>
          <w:rFonts w:ascii="Arial" w:hAnsi="Arial" w:cs="Arial"/>
          <w:color w:val="010000"/>
          <w:sz w:val="20"/>
        </w:rPr>
        <w:t xml:space="preserve"> </w:t>
      </w:r>
      <w:r w:rsidR="00FF6C00" w:rsidRPr="00FF6C00">
        <w:rPr>
          <w:rFonts w:ascii="Arial" w:hAnsi="Arial" w:cs="Arial"/>
          <w:color w:val="010000"/>
          <w:sz w:val="20"/>
        </w:rPr>
        <w:t>the</w:t>
      </w:r>
      <w:r w:rsidRPr="00FF6C00">
        <w:rPr>
          <w:rFonts w:ascii="Arial" w:hAnsi="Arial" w:cs="Arial"/>
          <w:color w:val="010000"/>
          <w:sz w:val="20"/>
        </w:rPr>
        <w:t xml:space="preserve"> year, the Company not only focused on operating stable electricity generation but also promoted the development of consulting services like operational management consulting for power projects, investment consulting for power projects, etc. Specifically, in 2023, the Company recorded revenue from selling goods and providing </w:t>
      </w:r>
      <w:r w:rsidR="00FF6C00" w:rsidRPr="00FF6C00">
        <w:rPr>
          <w:rFonts w:ascii="Arial" w:hAnsi="Arial" w:cs="Arial"/>
          <w:color w:val="010000"/>
          <w:sz w:val="20"/>
        </w:rPr>
        <w:t>services</w:t>
      </w:r>
      <w:r w:rsidRPr="00FF6C00">
        <w:rPr>
          <w:rFonts w:ascii="Arial" w:hAnsi="Arial" w:cs="Arial"/>
          <w:color w:val="010000"/>
          <w:sz w:val="20"/>
        </w:rPr>
        <w:t xml:space="preserve"> of VND 39,181,532,882 (increased by 19,049,056,771 </w:t>
      </w:r>
      <w:r w:rsidR="00D02510">
        <w:rPr>
          <w:rFonts w:ascii="Arial" w:hAnsi="Arial" w:cs="Arial"/>
          <w:color w:val="010000"/>
          <w:sz w:val="20"/>
        </w:rPr>
        <w:t>year-on-year</w:t>
      </w:r>
      <w:r w:rsidRPr="00FF6C00">
        <w:rPr>
          <w:rFonts w:ascii="Arial" w:hAnsi="Arial" w:cs="Arial"/>
          <w:color w:val="010000"/>
          <w:sz w:val="20"/>
        </w:rPr>
        <w:t xml:space="preserve"> - equivalent to 94.62%), in which the revenue from selling electricity increased by 1.88%, revenue from consulting service increased by 178.30% The cost of goods sold recorded in 2023 was VND 22,591,132,979 (increased by VND 11,335,900,508 </w:t>
      </w:r>
      <w:r w:rsidR="00D02510">
        <w:rPr>
          <w:rFonts w:ascii="Arial" w:hAnsi="Arial" w:cs="Arial"/>
          <w:color w:val="010000"/>
          <w:sz w:val="20"/>
        </w:rPr>
        <w:t>year-on-year</w:t>
      </w:r>
      <w:r w:rsidRPr="00FF6C00">
        <w:rPr>
          <w:rFonts w:ascii="Arial" w:hAnsi="Arial" w:cs="Arial"/>
          <w:color w:val="010000"/>
          <w:sz w:val="20"/>
        </w:rPr>
        <w:t xml:space="preserve"> - equivalent to an increase of 100.72%), in which the cost of goods sold of electricity increased by 6.25%, the cost of goods sold of consulting service increased by 239.80%</w:t>
      </w:r>
      <w:r w:rsidR="00FF6C00" w:rsidRPr="00FF6C00">
        <w:rPr>
          <w:rFonts w:ascii="Arial" w:hAnsi="Arial" w:cs="Arial"/>
          <w:color w:val="010000"/>
          <w:sz w:val="20"/>
        </w:rPr>
        <w:t>.</w:t>
      </w:r>
    </w:p>
    <w:p w14:paraId="27DEDAD7" w14:textId="78E08862" w:rsidR="00EB224D" w:rsidRDefault="00E54F48" w:rsidP="00D02510">
      <w:pPr>
        <w:pBdr>
          <w:top w:val="nil"/>
          <w:left w:val="nil"/>
          <w:bottom w:val="nil"/>
          <w:right w:val="nil"/>
          <w:between w:val="nil"/>
        </w:pBdr>
        <w:spacing w:after="120" w:line="360" w:lineRule="auto"/>
        <w:jc w:val="both"/>
        <w:rPr>
          <w:rFonts w:ascii="Arial" w:hAnsi="Arial" w:cs="Arial"/>
          <w:color w:val="010000"/>
          <w:sz w:val="20"/>
        </w:rPr>
      </w:pPr>
      <w:r w:rsidRPr="00FF6C00">
        <w:rPr>
          <w:rFonts w:ascii="Arial" w:hAnsi="Arial" w:cs="Arial"/>
          <w:color w:val="010000"/>
          <w:sz w:val="20"/>
        </w:rPr>
        <w:t xml:space="preserve">Moreover, in 2023, financial revenue of the Company decreased by VND 4,867,183,481 </w:t>
      </w:r>
      <w:r w:rsidR="00D02510">
        <w:rPr>
          <w:rFonts w:ascii="Arial" w:hAnsi="Arial" w:cs="Arial"/>
          <w:color w:val="010000"/>
          <w:sz w:val="20"/>
        </w:rPr>
        <w:t>year-on-year</w:t>
      </w:r>
      <w:r w:rsidRPr="00FF6C00">
        <w:rPr>
          <w:rFonts w:ascii="Arial" w:hAnsi="Arial" w:cs="Arial"/>
          <w:color w:val="010000"/>
          <w:sz w:val="20"/>
        </w:rPr>
        <w:t xml:space="preserve">, mainly because the subsidiaries </w:t>
      </w:r>
      <w:r w:rsidR="00D02510">
        <w:rPr>
          <w:rFonts w:ascii="Arial" w:hAnsi="Arial" w:cs="Arial"/>
          <w:color w:val="010000"/>
          <w:sz w:val="20"/>
        </w:rPr>
        <w:t>did</w:t>
      </w:r>
      <w:bookmarkStart w:id="0" w:name="_GoBack"/>
      <w:bookmarkEnd w:id="0"/>
      <w:r w:rsidRPr="00FF6C00">
        <w:rPr>
          <w:rFonts w:ascii="Arial" w:hAnsi="Arial" w:cs="Arial"/>
          <w:color w:val="010000"/>
          <w:sz w:val="20"/>
        </w:rPr>
        <w:t xml:space="preserve"> not distribute profit but </w:t>
      </w:r>
      <w:r w:rsidR="00D02510">
        <w:rPr>
          <w:rFonts w:ascii="Arial" w:hAnsi="Arial" w:cs="Arial"/>
          <w:color w:val="010000"/>
          <w:sz w:val="20"/>
        </w:rPr>
        <w:t>retained</w:t>
      </w:r>
      <w:r w:rsidRPr="00FF6C00">
        <w:rPr>
          <w:rFonts w:ascii="Arial" w:hAnsi="Arial" w:cs="Arial"/>
          <w:color w:val="010000"/>
          <w:sz w:val="20"/>
        </w:rPr>
        <w:t xml:space="preserve"> the profit to re-inv</w:t>
      </w:r>
      <w:r w:rsidR="00D02510">
        <w:rPr>
          <w:rFonts w:ascii="Arial" w:hAnsi="Arial" w:cs="Arial"/>
          <w:color w:val="010000"/>
          <w:sz w:val="20"/>
        </w:rPr>
        <w:t>est for the development of the C</w:t>
      </w:r>
      <w:r w:rsidRPr="00FF6C00">
        <w:rPr>
          <w:rFonts w:ascii="Arial" w:hAnsi="Arial" w:cs="Arial"/>
          <w:color w:val="010000"/>
          <w:sz w:val="20"/>
        </w:rPr>
        <w:t>ompany</w:t>
      </w:r>
    </w:p>
    <w:p w14:paraId="52672A8A" w14:textId="6BB06B45" w:rsidR="00FF6C00" w:rsidRPr="00FF6C00" w:rsidRDefault="00FF6C00" w:rsidP="00D0251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From the above reasons, the general business results of the Company record a profit after tax in 2023 increasing by VND 1,049,721,559 compared to 2022.</w:t>
      </w:r>
    </w:p>
    <w:p w14:paraId="7244BF2E" w14:textId="77777777" w:rsidR="00FF6C00" w:rsidRDefault="00FF6C00" w:rsidP="00D02510">
      <w:pPr>
        <w:pBdr>
          <w:top w:val="nil"/>
          <w:left w:val="nil"/>
          <w:bottom w:val="nil"/>
          <w:right w:val="nil"/>
          <w:between w:val="nil"/>
        </w:pBdr>
        <w:spacing w:after="120" w:line="360" w:lineRule="auto"/>
        <w:jc w:val="both"/>
        <w:rPr>
          <w:rFonts w:ascii="Arial" w:hAnsi="Arial" w:cs="Arial"/>
          <w:color w:val="010000"/>
          <w:sz w:val="20"/>
        </w:rPr>
      </w:pPr>
    </w:p>
    <w:sectPr w:rsidR="00FF6C00" w:rsidSect="00E54F4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4D"/>
    <w:rsid w:val="00D02510"/>
    <w:rsid w:val="00E54F48"/>
    <w:rsid w:val="00EB224D"/>
    <w:rsid w:val="00FF6C0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168C"/>
  <w15:docId w15:val="{4BD0080E-3748-4504-AD11-706DE358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4"/>
      <w:szCs w:val="24"/>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6"/>
      <w:szCs w:val="26"/>
      <w:u w:val="none"/>
      <w:shd w:val="clear" w:color="auto" w:fill="auto"/>
    </w:rPr>
  </w:style>
  <w:style w:type="paragraph" w:styleId="BodyText">
    <w:name w:val="Body Text"/>
    <w:basedOn w:val="Normal"/>
    <w:link w:val="BodyTextChar"/>
    <w:qFormat/>
    <w:pPr>
      <w:spacing w:line="343" w:lineRule="auto"/>
      <w:ind w:firstLine="400"/>
    </w:pPr>
    <w:rPr>
      <w:rFonts w:ascii="Times New Roman" w:eastAsia="Times New Roman" w:hAnsi="Times New Roman" w:cs="Times New Roman"/>
      <w:sz w:val="22"/>
      <w:szCs w:val="22"/>
    </w:rPr>
  </w:style>
  <w:style w:type="paragraph" w:customStyle="1" w:styleId="Other0">
    <w:name w:val="Other"/>
    <w:basedOn w:val="Normal"/>
    <w:link w:val="Other"/>
    <w:pPr>
      <w:spacing w:line="343"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jc w:val="center"/>
      <w:outlineLvl w:val="1"/>
    </w:pPr>
    <w:rPr>
      <w:rFonts w:ascii="Arial" w:eastAsia="Arial" w:hAnsi="Arial" w:cs="Arial"/>
    </w:rPr>
  </w:style>
  <w:style w:type="paragraph" w:customStyle="1" w:styleId="Heading31">
    <w:name w:val="Heading #3"/>
    <w:basedOn w:val="Normal"/>
    <w:link w:val="Heading30"/>
    <w:pPr>
      <w:ind w:firstLine="190"/>
      <w:jc w:val="center"/>
      <w:outlineLvl w:val="2"/>
    </w:pPr>
    <w:rPr>
      <w:rFonts w:ascii="Times New Roman" w:eastAsia="Times New Roman" w:hAnsi="Times New Roman" w:cs="Times New Roman"/>
      <w:b/>
      <w:bCs/>
      <w:i/>
      <w:iCs/>
      <w:sz w:val="22"/>
      <w:szCs w:val="22"/>
    </w:rPr>
  </w:style>
  <w:style w:type="paragraph" w:customStyle="1" w:styleId="Heading11">
    <w:name w:val="Heading #1"/>
    <w:basedOn w:val="Normal"/>
    <w:link w:val="Heading10"/>
    <w:pPr>
      <w:ind w:left="5800"/>
      <w:outlineLvl w:val="0"/>
    </w:pPr>
    <w:rPr>
      <w:rFonts w:ascii="Times New Roman" w:eastAsia="Times New Roman" w:hAnsi="Times New Roman" w:cs="Times New Roman"/>
      <w:b/>
      <w:bCs/>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pEaQMJruzoEYFh51o7/xgw3ug==">CgMxLjA4AHIhMTdDMnM1WVNEaTRCUk9KeUY2Z19kWmVrLW1MYzZtanE1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2024-03-29T03:20:00Z</dcterms:created>
  <dcterms:modified xsi:type="dcterms:W3CDTF">2024-03-29T03:20:00Z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69a63b795852c63246cd8803097398610bf88ca37b333c910b8f977924e53ccf</vt:lpwstr>
  </property>
</Properties>
</file>