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90156">
        <w:rPr>
          <w:rFonts w:ascii="Arial" w:hAnsi="Arial" w:cs="Arial"/>
          <w:b/>
          <w:color w:val="010000"/>
          <w:sz w:val="20"/>
        </w:rPr>
        <w:t>HMR: Annual General Mandate 2024</w:t>
      </w:r>
    </w:p>
    <w:p w14:paraId="00000002" w14:textId="40963370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On March 22, 2024, Hoang Mai Stone Joint Stock Company announced General Mandate No. 23/2024/NQ-DHDCD/H</w:t>
      </w:r>
      <w:r w:rsidR="001834C9" w:rsidRPr="00A90156">
        <w:rPr>
          <w:rFonts w:ascii="Arial" w:hAnsi="Arial" w:cs="Arial"/>
          <w:color w:val="010000"/>
          <w:sz w:val="20"/>
        </w:rPr>
        <w:t>MR</w:t>
      </w:r>
      <w:r w:rsidRPr="00A90156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2CCB592B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Article 1: Approve the Report on production</w:t>
      </w:r>
      <w:bookmarkStart w:id="0" w:name="_GoBack"/>
      <w:bookmarkEnd w:id="0"/>
      <w:r w:rsidRPr="00A90156">
        <w:rPr>
          <w:rFonts w:ascii="Arial" w:hAnsi="Arial" w:cs="Arial"/>
          <w:color w:val="010000"/>
          <w:sz w:val="20"/>
        </w:rPr>
        <w:t xml:space="preserve"> and business </w:t>
      </w:r>
      <w:r w:rsidR="001834C9" w:rsidRPr="00A90156">
        <w:rPr>
          <w:rFonts w:ascii="Arial" w:hAnsi="Arial" w:cs="Arial"/>
          <w:color w:val="010000"/>
          <w:sz w:val="20"/>
        </w:rPr>
        <w:t>results</w:t>
      </w:r>
      <w:r w:rsidRPr="00A90156">
        <w:rPr>
          <w:rFonts w:ascii="Arial" w:hAnsi="Arial" w:cs="Arial"/>
          <w:color w:val="010000"/>
          <w:sz w:val="20"/>
        </w:rPr>
        <w:t xml:space="preserve"> in 2023 and the production and business plan for 2024.</w:t>
      </w:r>
    </w:p>
    <w:p w14:paraId="00000004" w14:textId="77777777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In particular, there are some main targets of the production and business plan for 2024 as follows:</w:t>
      </w:r>
    </w:p>
    <w:p w14:paraId="00000005" w14:textId="15442053" w:rsidR="00523B4E" w:rsidRPr="00A90156" w:rsidRDefault="003C4B7E" w:rsidP="00B70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Total value of realized </w:t>
      </w:r>
      <w:r w:rsidR="001834C9" w:rsidRPr="00A90156">
        <w:rPr>
          <w:rFonts w:ascii="Arial" w:hAnsi="Arial" w:cs="Arial"/>
          <w:color w:val="010000"/>
          <w:sz w:val="20"/>
        </w:rPr>
        <w:t>output</w:t>
      </w:r>
      <w:r w:rsidRPr="00A90156">
        <w:rPr>
          <w:rFonts w:ascii="Arial" w:hAnsi="Arial" w:cs="Arial"/>
          <w:color w:val="010000"/>
          <w:sz w:val="20"/>
        </w:rPr>
        <w:t xml:space="preserve"> in 2024: VND 72 billion</w:t>
      </w:r>
    </w:p>
    <w:p w14:paraId="00000006" w14:textId="77777777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In which:</w:t>
      </w:r>
    </w:p>
    <w:p w14:paraId="00000007" w14:textId="4A7C9243" w:rsidR="00523B4E" w:rsidRPr="00A90156" w:rsidRDefault="003C4B7E" w:rsidP="00B70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9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Value of construction </w:t>
      </w:r>
      <w:r w:rsidR="001834C9" w:rsidRPr="00A90156">
        <w:rPr>
          <w:rFonts w:ascii="Arial" w:hAnsi="Arial" w:cs="Arial"/>
          <w:color w:val="010000"/>
          <w:sz w:val="20"/>
        </w:rPr>
        <w:t>output</w:t>
      </w:r>
      <w:r w:rsidRPr="00A90156">
        <w:rPr>
          <w:rFonts w:ascii="Arial" w:hAnsi="Arial" w:cs="Arial"/>
          <w:color w:val="010000"/>
          <w:sz w:val="20"/>
        </w:rPr>
        <w:t>: VND 57 billion.</w:t>
      </w:r>
    </w:p>
    <w:p w14:paraId="00000008" w14:textId="275AABCB" w:rsidR="00523B4E" w:rsidRPr="00A90156" w:rsidRDefault="003C4B7E" w:rsidP="00B70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9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Value of industr</w:t>
      </w:r>
      <w:r w:rsidR="001834C9" w:rsidRPr="00A90156">
        <w:rPr>
          <w:rFonts w:ascii="Arial" w:hAnsi="Arial" w:cs="Arial"/>
          <w:color w:val="010000"/>
          <w:sz w:val="20"/>
        </w:rPr>
        <w:t>ial</w:t>
      </w:r>
      <w:r w:rsidRPr="00A90156">
        <w:rPr>
          <w:rFonts w:ascii="Arial" w:hAnsi="Arial" w:cs="Arial"/>
          <w:color w:val="010000"/>
          <w:sz w:val="20"/>
        </w:rPr>
        <w:t xml:space="preserve"> and service </w:t>
      </w:r>
      <w:r w:rsidR="001834C9" w:rsidRPr="00A90156">
        <w:rPr>
          <w:rFonts w:ascii="Arial" w:hAnsi="Arial" w:cs="Arial"/>
          <w:color w:val="010000"/>
          <w:sz w:val="20"/>
        </w:rPr>
        <w:t>output</w:t>
      </w:r>
      <w:r w:rsidRPr="00A90156">
        <w:rPr>
          <w:rFonts w:ascii="Arial" w:hAnsi="Arial" w:cs="Arial"/>
          <w:color w:val="010000"/>
          <w:sz w:val="20"/>
        </w:rPr>
        <w:t>: VND 15 billion.</w:t>
      </w:r>
    </w:p>
    <w:p w14:paraId="00000009" w14:textId="33AFA54E" w:rsidR="00523B4E" w:rsidRPr="00A90156" w:rsidRDefault="003C4B7E" w:rsidP="00B70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Revenue and income: over </w:t>
      </w:r>
      <w:r w:rsidR="001834C9" w:rsidRPr="00A90156">
        <w:rPr>
          <w:rFonts w:ascii="Arial" w:hAnsi="Arial" w:cs="Arial"/>
          <w:color w:val="010000"/>
          <w:sz w:val="20"/>
        </w:rPr>
        <w:t xml:space="preserve">VND </w:t>
      </w:r>
      <w:r w:rsidRPr="00A90156">
        <w:rPr>
          <w:rFonts w:ascii="Arial" w:hAnsi="Arial" w:cs="Arial"/>
          <w:color w:val="010000"/>
          <w:sz w:val="20"/>
        </w:rPr>
        <w:t>87 billio</w:t>
      </w:r>
      <w:r w:rsidR="001834C9" w:rsidRPr="00A90156">
        <w:rPr>
          <w:rFonts w:ascii="Arial" w:hAnsi="Arial" w:cs="Arial"/>
          <w:color w:val="010000"/>
          <w:sz w:val="20"/>
        </w:rPr>
        <w:t>n</w:t>
      </w:r>
      <w:r w:rsidRPr="00A90156">
        <w:rPr>
          <w:rFonts w:ascii="Arial" w:hAnsi="Arial" w:cs="Arial"/>
          <w:color w:val="010000"/>
          <w:sz w:val="20"/>
        </w:rPr>
        <w:t>.</w:t>
      </w:r>
    </w:p>
    <w:p w14:paraId="0000000A" w14:textId="5175B00E" w:rsidR="00523B4E" w:rsidRPr="00A90156" w:rsidRDefault="003C4B7E" w:rsidP="00B70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Capital recovery: </w:t>
      </w:r>
      <w:r w:rsidR="001834C9" w:rsidRPr="00A90156">
        <w:rPr>
          <w:rFonts w:ascii="Arial" w:hAnsi="Arial" w:cs="Arial"/>
          <w:color w:val="010000"/>
          <w:sz w:val="20"/>
        </w:rPr>
        <w:t xml:space="preserve">over </w:t>
      </w:r>
      <w:r w:rsidRPr="00A90156">
        <w:rPr>
          <w:rFonts w:ascii="Arial" w:hAnsi="Arial" w:cs="Arial"/>
          <w:color w:val="010000"/>
          <w:sz w:val="20"/>
        </w:rPr>
        <w:t>VND 55 billion.</w:t>
      </w:r>
      <w:r w:rsidR="001834C9" w:rsidRPr="00A90156">
        <w:rPr>
          <w:rFonts w:ascii="Arial" w:hAnsi="Arial" w:cs="Arial"/>
          <w:color w:val="010000"/>
          <w:sz w:val="20"/>
        </w:rPr>
        <w:t xml:space="preserve"> </w:t>
      </w:r>
    </w:p>
    <w:p w14:paraId="0000000B" w14:textId="4F8E1385" w:rsidR="00523B4E" w:rsidRPr="00A90156" w:rsidRDefault="003C4B7E" w:rsidP="00B70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Total profit before tax: </w:t>
      </w:r>
      <w:r w:rsidR="001834C9" w:rsidRPr="00A90156">
        <w:rPr>
          <w:rFonts w:ascii="Arial" w:hAnsi="Arial" w:cs="Arial"/>
          <w:color w:val="010000"/>
          <w:sz w:val="20"/>
        </w:rPr>
        <w:t>o</w:t>
      </w:r>
      <w:r w:rsidRPr="00A90156">
        <w:rPr>
          <w:rFonts w:ascii="Arial" w:hAnsi="Arial" w:cs="Arial"/>
          <w:color w:val="010000"/>
          <w:sz w:val="20"/>
        </w:rPr>
        <w:t>ver VND 8 billion.</w:t>
      </w:r>
    </w:p>
    <w:p w14:paraId="0000000C" w14:textId="7E61877B" w:rsidR="00523B4E" w:rsidRPr="00A90156" w:rsidRDefault="003C4B7E" w:rsidP="00B70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Expected dividend: 10%</w:t>
      </w:r>
      <w:r w:rsidR="001834C9" w:rsidRPr="00A90156">
        <w:rPr>
          <w:rFonts w:ascii="Arial" w:hAnsi="Arial" w:cs="Arial"/>
          <w:color w:val="010000"/>
          <w:sz w:val="20"/>
        </w:rPr>
        <w:t>/</w:t>
      </w:r>
      <w:r w:rsidRPr="00A90156">
        <w:rPr>
          <w:rFonts w:ascii="Arial" w:hAnsi="Arial" w:cs="Arial"/>
          <w:color w:val="010000"/>
          <w:sz w:val="20"/>
        </w:rPr>
        <w:t>charter capital or 95% of profit after tax.</w:t>
      </w:r>
    </w:p>
    <w:p w14:paraId="0000000D" w14:textId="7522FEE4" w:rsidR="00523B4E" w:rsidRPr="00A90156" w:rsidRDefault="003C4B7E" w:rsidP="00B70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Remuneration of the Board of Directors and the Supervisory Board: </w:t>
      </w:r>
      <w:r w:rsidR="001834C9" w:rsidRPr="00A90156">
        <w:rPr>
          <w:rFonts w:ascii="Arial" w:hAnsi="Arial" w:cs="Arial"/>
          <w:color w:val="010000"/>
          <w:sz w:val="20"/>
        </w:rPr>
        <w:t xml:space="preserve">equal to or less than </w:t>
      </w:r>
      <w:r w:rsidRPr="00A90156">
        <w:rPr>
          <w:rFonts w:ascii="Arial" w:hAnsi="Arial" w:cs="Arial"/>
          <w:color w:val="010000"/>
          <w:sz w:val="20"/>
        </w:rPr>
        <w:t>10% of profit.</w:t>
      </w:r>
    </w:p>
    <w:p w14:paraId="0000000E" w14:textId="77777777" w:rsidR="00523B4E" w:rsidRPr="00A90156" w:rsidRDefault="003C4B7E" w:rsidP="00B70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Short-term bank loan balance as of December 31, 2024: VND 3 billion;</w:t>
      </w:r>
    </w:p>
    <w:p w14:paraId="0000000F" w14:textId="77777777" w:rsidR="00523B4E" w:rsidRPr="00A90156" w:rsidRDefault="003C4B7E" w:rsidP="00B70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Fulfillment of obligations to the State.</w:t>
      </w:r>
    </w:p>
    <w:p w14:paraId="00000010" w14:textId="77777777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Article 2: Approve the Report on the operational results of the Board of Directors in 2023 and the operational plan for 2024.</w:t>
      </w:r>
    </w:p>
    <w:p w14:paraId="00000011" w14:textId="43A4A2E2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Article 3: Approve the Report on </w:t>
      </w:r>
      <w:r w:rsidR="001834C9" w:rsidRPr="00A90156">
        <w:rPr>
          <w:rFonts w:ascii="Arial" w:hAnsi="Arial" w:cs="Arial"/>
          <w:color w:val="010000"/>
          <w:sz w:val="20"/>
        </w:rPr>
        <w:t xml:space="preserve">the operational results </w:t>
      </w:r>
      <w:r w:rsidRPr="00A90156">
        <w:rPr>
          <w:rFonts w:ascii="Arial" w:hAnsi="Arial" w:cs="Arial"/>
          <w:color w:val="010000"/>
          <w:sz w:val="20"/>
        </w:rPr>
        <w:t>of the Supervisory Board in 2023 and the operational plan for 2024.</w:t>
      </w:r>
    </w:p>
    <w:p w14:paraId="00000012" w14:textId="6D9D87C3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Article 4: Approve the Audited Financial Statements 2023, profit distribution plan for 2023, remuneration of the Board of Directors and the Supervisory Board in 2023, and financial plan for 2024, with </w:t>
      </w:r>
      <w:r w:rsidR="00264A4F" w:rsidRPr="00A90156">
        <w:rPr>
          <w:rFonts w:ascii="Arial" w:hAnsi="Arial" w:cs="Arial"/>
          <w:color w:val="010000"/>
          <w:sz w:val="20"/>
        </w:rPr>
        <w:t>the</w:t>
      </w:r>
      <w:r w:rsidRPr="00A90156">
        <w:rPr>
          <w:rFonts w:ascii="Arial" w:hAnsi="Arial" w:cs="Arial"/>
          <w:color w:val="010000"/>
          <w:sz w:val="20"/>
        </w:rPr>
        <w:t xml:space="preserve"> following main contents:</w:t>
      </w:r>
    </w:p>
    <w:p w14:paraId="00000013" w14:textId="77777777" w:rsidR="00523B4E" w:rsidRPr="00A90156" w:rsidRDefault="003C4B7E" w:rsidP="00B70E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Business results in 2023:</w:t>
      </w:r>
    </w:p>
    <w:p w14:paraId="00000014" w14:textId="77777777" w:rsidR="00523B4E" w:rsidRPr="00A90156" w:rsidRDefault="003C4B7E" w:rsidP="00B70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Total revenue: VND 53,058,021,679</w:t>
      </w:r>
    </w:p>
    <w:p w14:paraId="00000015" w14:textId="77777777" w:rsidR="00523B4E" w:rsidRPr="00A90156" w:rsidRDefault="003C4B7E" w:rsidP="00B70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Total expenses: VND 45,900,725,649</w:t>
      </w:r>
    </w:p>
    <w:p w14:paraId="00000016" w14:textId="77777777" w:rsidR="00523B4E" w:rsidRPr="00A90156" w:rsidRDefault="003C4B7E" w:rsidP="00B70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Profit before tax: VND 7,157,296,030</w:t>
      </w:r>
    </w:p>
    <w:p w14:paraId="00000017" w14:textId="77777777" w:rsidR="00523B4E" w:rsidRPr="00A90156" w:rsidRDefault="003C4B7E" w:rsidP="00B70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2014"/>
          <w:tab w:val="left" w:pos="50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Current corporate income tax: VND 1,435,630,456</w:t>
      </w:r>
    </w:p>
    <w:p w14:paraId="00000018" w14:textId="77777777" w:rsidR="00523B4E" w:rsidRPr="00A90156" w:rsidRDefault="003C4B7E" w:rsidP="00B70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2009"/>
          <w:tab w:val="left" w:pos="50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Profit after tax: VND 5,721,665,574</w:t>
      </w:r>
    </w:p>
    <w:p w14:paraId="00000019" w14:textId="77777777" w:rsidR="00523B4E" w:rsidRPr="00A90156" w:rsidRDefault="003C4B7E" w:rsidP="00B70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2009"/>
          <w:tab w:val="left" w:pos="50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Remuneration of the Board of Directors and the Supervisory Board: VND 700,000,000</w:t>
      </w:r>
    </w:p>
    <w:p w14:paraId="0000001A" w14:textId="4B57257A" w:rsidR="00523B4E" w:rsidRPr="00A90156" w:rsidRDefault="00264A4F" w:rsidP="00B70E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lastRenderedPageBreak/>
        <w:t>D</w:t>
      </w:r>
      <w:r w:rsidR="003C4B7E" w:rsidRPr="00A90156">
        <w:rPr>
          <w:rFonts w:ascii="Arial" w:hAnsi="Arial" w:cs="Arial"/>
          <w:color w:val="010000"/>
          <w:sz w:val="20"/>
        </w:rPr>
        <w:t>istribution plan for profit after tax in 2023:</w:t>
      </w:r>
    </w:p>
    <w:p w14:paraId="0000001B" w14:textId="554E19B8" w:rsidR="00523B4E" w:rsidRPr="00A90156" w:rsidRDefault="00264A4F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64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P</w:t>
      </w:r>
      <w:r w:rsidR="003C4B7E" w:rsidRPr="00A90156">
        <w:rPr>
          <w:rFonts w:ascii="Arial" w:hAnsi="Arial" w:cs="Arial"/>
          <w:color w:val="010000"/>
          <w:sz w:val="20"/>
        </w:rPr>
        <w:t>rofit</w:t>
      </w:r>
      <w:r w:rsidRPr="00A90156">
        <w:rPr>
          <w:rFonts w:ascii="Arial" w:hAnsi="Arial" w:cs="Arial"/>
          <w:color w:val="010000"/>
          <w:sz w:val="20"/>
        </w:rPr>
        <w:t xml:space="preserve"> distributed</w:t>
      </w:r>
      <w:r w:rsidR="003C4B7E" w:rsidRPr="00A90156">
        <w:rPr>
          <w:rFonts w:ascii="Arial" w:hAnsi="Arial" w:cs="Arial"/>
          <w:color w:val="010000"/>
          <w:sz w:val="20"/>
        </w:rPr>
        <w:t xml:space="preserve"> in 2023: VND 6,567,549,450</w:t>
      </w:r>
    </w:p>
    <w:p w14:paraId="0000001C" w14:textId="77777777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In which:</w:t>
      </w:r>
    </w:p>
    <w:p w14:paraId="0000001D" w14:textId="77777777" w:rsidR="00523B4E" w:rsidRPr="00A90156" w:rsidRDefault="003C4B7E" w:rsidP="00B70E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22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Dividend payment (11.11%), accounting for 95%: VND 6,239,171,977</w:t>
      </w:r>
    </w:p>
    <w:p w14:paraId="0000001E" w14:textId="77777777" w:rsidR="00523B4E" w:rsidRPr="00A90156" w:rsidRDefault="003C4B7E" w:rsidP="00B70E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2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Appropriation for bonus fund, accounting for 2%: VND 131,350,989</w:t>
      </w:r>
    </w:p>
    <w:p w14:paraId="0000001F" w14:textId="77777777" w:rsidR="00523B4E" w:rsidRPr="00A90156" w:rsidRDefault="003C4B7E" w:rsidP="00B70E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2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Appropriation for welfare fund, accounting for 3%: VND 197,026,484</w:t>
      </w:r>
    </w:p>
    <w:p w14:paraId="00000020" w14:textId="00589526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Article 5: Approve the Proposal on remuneration for the Board of Directors and the Supervisory Board in 2024, with </w:t>
      </w:r>
      <w:r w:rsidR="00264A4F" w:rsidRPr="00A90156">
        <w:rPr>
          <w:rFonts w:ascii="Arial" w:hAnsi="Arial" w:cs="Arial"/>
          <w:color w:val="010000"/>
          <w:sz w:val="20"/>
        </w:rPr>
        <w:t>the</w:t>
      </w:r>
      <w:r w:rsidRPr="00A90156">
        <w:rPr>
          <w:rFonts w:ascii="Arial" w:hAnsi="Arial" w:cs="Arial"/>
          <w:color w:val="010000"/>
          <w:sz w:val="20"/>
        </w:rPr>
        <w:t xml:space="preserve"> following main contents:</w:t>
      </w:r>
    </w:p>
    <w:p w14:paraId="00000021" w14:textId="19806C27" w:rsidR="00523B4E" w:rsidRPr="00A90156" w:rsidRDefault="00264A4F" w:rsidP="00B70E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R</w:t>
      </w:r>
      <w:r w:rsidR="003C4B7E" w:rsidRPr="00A90156">
        <w:rPr>
          <w:rFonts w:ascii="Arial" w:hAnsi="Arial" w:cs="Arial"/>
          <w:color w:val="010000"/>
          <w:sz w:val="20"/>
        </w:rPr>
        <w:t>emuneration of the Board of Directors in 2024</w:t>
      </w:r>
      <w:r w:rsidRPr="00A90156">
        <w:rPr>
          <w:rFonts w:ascii="Arial" w:hAnsi="Arial" w:cs="Arial"/>
          <w:color w:val="010000"/>
          <w:sz w:val="20"/>
        </w:rPr>
        <w:t xml:space="preserve"> (VND)</w:t>
      </w:r>
      <w:r w:rsidR="003C4B7E" w:rsidRPr="00A90156">
        <w:rPr>
          <w:rFonts w:ascii="Arial" w:hAnsi="Arial" w:cs="Arial"/>
          <w:color w:val="010000"/>
          <w:sz w:val="20"/>
        </w:rPr>
        <w:t xml:space="preserve"> = Profit </w:t>
      </w:r>
      <w:r w:rsidRPr="00A90156">
        <w:rPr>
          <w:rFonts w:ascii="Arial" w:hAnsi="Arial" w:cs="Arial"/>
          <w:color w:val="010000"/>
          <w:sz w:val="20"/>
        </w:rPr>
        <w:t>b</w:t>
      </w:r>
      <w:r w:rsidR="003C4B7E" w:rsidRPr="00A90156">
        <w:rPr>
          <w:rFonts w:ascii="Arial" w:hAnsi="Arial" w:cs="Arial"/>
          <w:color w:val="010000"/>
          <w:sz w:val="20"/>
        </w:rPr>
        <w:t xml:space="preserve">efore </w:t>
      </w:r>
      <w:r w:rsidRPr="00A90156">
        <w:rPr>
          <w:rFonts w:ascii="Arial" w:hAnsi="Arial" w:cs="Arial"/>
          <w:color w:val="010000"/>
          <w:sz w:val="20"/>
        </w:rPr>
        <w:t>t</w:t>
      </w:r>
      <w:r w:rsidR="003C4B7E" w:rsidRPr="00A90156">
        <w:rPr>
          <w:rFonts w:ascii="Arial" w:hAnsi="Arial" w:cs="Arial"/>
          <w:color w:val="010000"/>
          <w:sz w:val="20"/>
        </w:rPr>
        <w:t>ax x 10% x (75-80%)</w:t>
      </w:r>
      <w:r w:rsidRPr="00A90156">
        <w:rPr>
          <w:rFonts w:ascii="Arial" w:hAnsi="Arial" w:cs="Arial"/>
          <w:color w:val="010000"/>
          <w:sz w:val="20"/>
        </w:rPr>
        <w:t xml:space="preserve"> </w:t>
      </w:r>
    </w:p>
    <w:p w14:paraId="00000022" w14:textId="2C982035" w:rsidR="00523B4E" w:rsidRPr="00A90156" w:rsidRDefault="00264A4F" w:rsidP="00B70E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20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R</w:t>
      </w:r>
      <w:r w:rsidR="003C4B7E" w:rsidRPr="00A90156">
        <w:rPr>
          <w:rFonts w:ascii="Arial" w:hAnsi="Arial" w:cs="Arial"/>
          <w:color w:val="010000"/>
          <w:sz w:val="20"/>
        </w:rPr>
        <w:t xml:space="preserve">emuneration of the Supervisory Board in 2024 </w:t>
      </w:r>
      <w:r w:rsidRPr="00A90156">
        <w:rPr>
          <w:rFonts w:ascii="Arial" w:hAnsi="Arial" w:cs="Arial"/>
          <w:color w:val="010000"/>
          <w:sz w:val="20"/>
        </w:rPr>
        <w:t xml:space="preserve">(VND) </w:t>
      </w:r>
      <w:r w:rsidR="003C4B7E" w:rsidRPr="00A90156">
        <w:rPr>
          <w:rFonts w:ascii="Arial" w:hAnsi="Arial" w:cs="Arial"/>
          <w:color w:val="010000"/>
          <w:sz w:val="20"/>
        </w:rPr>
        <w:t xml:space="preserve">= Profit </w:t>
      </w:r>
      <w:r w:rsidRPr="00A90156">
        <w:rPr>
          <w:rFonts w:ascii="Arial" w:hAnsi="Arial" w:cs="Arial"/>
          <w:color w:val="010000"/>
          <w:sz w:val="20"/>
        </w:rPr>
        <w:t>b</w:t>
      </w:r>
      <w:r w:rsidR="003C4B7E" w:rsidRPr="00A90156">
        <w:rPr>
          <w:rFonts w:ascii="Arial" w:hAnsi="Arial" w:cs="Arial"/>
          <w:color w:val="010000"/>
          <w:sz w:val="20"/>
        </w:rPr>
        <w:t xml:space="preserve">efore </w:t>
      </w:r>
      <w:r w:rsidRPr="00A90156">
        <w:rPr>
          <w:rFonts w:ascii="Arial" w:hAnsi="Arial" w:cs="Arial"/>
          <w:color w:val="010000"/>
          <w:sz w:val="20"/>
        </w:rPr>
        <w:t>t</w:t>
      </w:r>
      <w:r w:rsidR="003C4B7E" w:rsidRPr="00A90156">
        <w:rPr>
          <w:rFonts w:ascii="Arial" w:hAnsi="Arial" w:cs="Arial"/>
          <w:color w:val="010000"/>
          <w:sz w:val="20"/>
        </w:rPr>
        <w:t>ax x 10% x (20-25%).</w:t>
      </w:r>
    </w:p>
    <w:p w14:paraId="00000023" w14:textId="77777777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Article 6: Approve the Proposal on the audit company selection for the Financial Statements 2024, specifically as follows:</w:t>
      </w:r>
    </w:p>
    <w:p w14:paraId="00000024" w14:textId="3A754D88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Authorize the Board of Directors to implement and decide to select one of the following audit companies to review the Semi-</w:t>
      </w:r>
      <w:r w:rsidR="00264A4F" w:rsidRPr="00A90156">
        <w:rPr>
          <w:rFonts w:ascii="Arial" w:hAnsi="Arial" w:cs="Arial"/>
          <w:color w:val="010000"/>
          <w:sz w:val="20"/>
        </w:rPr>
        <w:t>A</w:t>
      </w:r>
      <w:r w:rsidRPr="00A90156">
        <w:rPr>
          <w:rFonts w:ascii="Arial" w:hAnsi="Arial" w:cs="Arial"/>
          <w:color w:val="010000"/>
          <w:sz w:val="20"/>
        </w:rPr>
        <w:t>nnual Financial Statements of 2024 and the Financial Statements 2024 of Hoang Mai Stone Joint Stock Company:</w:t>
      </w:r>
    </w:p>
    <w:p w14:paraId="00000025" w14:textId="77777777" w:rsidR="00523B4E" w:rsidRPr="00A90156" w:rsidRDefault="003C4B7E" w:rsidP="00B70E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AASC Auditing Firm Company Limited</w:t>
      </w:r>
    </w:p>
    <w:p w14:paraId="00000026" w14:textId="77777777" w:rsidR="00523B4E" w:rsidRPr="00A90156" w:rsidRDefault="003C4B7E" w:rsidP="00B70E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9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A&amp;C Auditing and Consulting Company Limited</w:t>
      </w:r>
    </w:p>
    <w:p w14:paraId="00000027" w14:textId="77777777" w:rsidR="00523B4E" w:rsidRPr="00A90156" w:rsidRDefault="003C4B7E" w:rsidP="00B70E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  <w:tab w:val="left" w:pos="19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UHY Auditing and Consulting Company Limited</w:t>
      </w:r>
    </w:p>
    <w:p w14:paraId="00000028" w14:textId="47D4355E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Article 7: Approve the Proposal on chang</w:t>
      </w:r>
      <w:r w:rsidR="00264A4F" w:rsidRPr="00A90156">
        <w:rPr>
          <w:rFonts w:ascii="Arial" w:hAnsi="Arial" w:cs="Arial"/>
          <w:color w:val="010000"/>
          <w:sz w:val="20"/>
        </w:rPr>
        <w:t>ing the purpose</w:t>
      </w:r>
      <w:r w:rsidRPr="00A90156">
        <w:rPr>
          <w:rFonts w:ascii="Arial" w:hAnsi="Arial" w:cs="Arial"/>
          <w:color w:val="010000"/>
          <w:sz w:val="20"/>
        </w:rPr>
        <w:t xml:space="preserve"> of capital use.</w:t>
      </w:r>
    </w:p>
    <w:p w14:paraId="00000029" w14:textId="2F6D86CB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 xml:space="preserve">Article 8: Terms </w:t>
      </w:r>
      <w:r w:rsidR="00264A4F" w:rsidRPr="00A90156">
        <w:rPr>
          <w:rFonts w:ascii="Arial" w:hAnsi="Arial" w:cs="Arial"/>
          <w:color w:val="010000"/>
          <w:sz w:val="20"/>
        </w:rPr>
        <w:t xml:space="preserve">of </w:t>
      </w:r>
      <w:r w:rsidRPr="00A90156">
        <w:rPr>
          <w:rFonts w:ascii="Arial" w:hAnsi="Arial" w:cs="Arial"/>
          <w:color w:val="010000"/>
          <w:sz w:val="20"/>
        </w:rPr>
        <w:t>enforcement:</w:t>
      </w:r>
    </w:p>
    <w:p w14:paraId="0000002A" w14:textId="77777777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This General Mandate takes effect from the date of its signing.</w:t>
      </w:r>
    </w:p>
    <w:p w14:paraId="0000002B" w14:textId="1BD2FC9F" w:rsidR="00523B4E" w:rsidRPr="00A90156" w:rsidRDefault="003C4B7E" w:rsidP="00B70E5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156">
        <w:rPr>
          <w:rFonts w:ascii="Arial" w:hAnsi="Arial" w:cs="Arial"/>
          <w:color w:val="010000"/>
          <w:sz w:val="20"/>
        </w:rPr>
        <w:t>The Board of Directors, the Supervisory Board, Company Manager, and relevant individuals organize the implementation of this General Mandate.</w:t>
      </w:r>
      <w:r w:rsidR="00264A4F" w:rsidRPr="00A90156">
        <w:rPr>
          <w:rFonts w:ascii="Arial" w:hAnsi="Arial" w:cs="Arial"/>
          <w:color w:val="010000"/>
          <w:sz w:val="20"/>
        </w:rPr>
        <w:t>/.</w:t>
      </w:r>
    </w:p>
    <w:sectPr w:rsidR="00523B4E" w:rsidRPr="00A90156" w:rsidSect="00A90156">
      <w:pgSz w:w="11907" w:h="1683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83E"/>
    <w:multiLevelType w:val="multilevel"/>
    <w:tmpl w:val="2760F3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572DB5"/>
    <w:multiLevelType w:val="multilevel"/>
    <w:tmpl w:val="7466F2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B4D5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91685B"/>
    <w:multiLevelType w:val="multilevel"/>
    <w:tmpl w:val="964458B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1B147C"/>
    <w:multiLevelType w:val="multilevel"/>
    <w:tmpl w:val="3386F9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B4D5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E0D3FD5"/>
    <w:multiLevelType w:val="multilevel"/>
    <w:tmpl w:val="192278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88832E3"/>
    <w:multiLevelType w:val="multilevel"/>
    <w:tmpl w:val="C32AD8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E"/>
    <w:rsid w:val="001834C9"/>
    <w:rsid w:val="00264A4F"/>
    <w:rsid w:val="003C4B7E"/>
    <w:rsid w:val="00523B4E"/>
    <w:rsid w:val="007917C3"/>
    <w:rsid w:val="00A90156"/>
    <w:rsid w:val="00B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C3001"/>
  <w15:docId w15:val="{22880EC4-8027-4007-93B6-EDDDBD6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0">
    <w:name w:val="Heading #3_"/>
    <w:basedOn w:val="DefaultParagraphFont"/>
    <w:link w:val="Heading31"/>
    <w:rPr>
      <w:rFonts w:ascii="Calibri" w:eastAsia="Calibri" w:hAnsi="Calibri" w:cs="Calibri"/>
      <w:b/>
      <w:bCs/>
      <w:i w:val="0"/>
      <w:iCs w:val="0"/>
      <w:smallCaps w:val="0"/>
      <w:strike w:val="0"/>
      <w:color w:val="6D8AC1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D55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1808F"/>
      <w:sz w:val="68"/>
      <w:szCs w:val="6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D1808F"/>
      <w:sz w:val="9"/>
      <w:szCs w:val="9"/>
      <w:u w:val="none"/>
    </w:rPr>
  </w:style>
  <w:style w:type="paragraph" w:styleId="BodyText">
    <w:name w:val="Body Text"/>
    <w:basedOn w:val="Normal"/>
    <w:link w:val="BodyTextChar"/>
    <w:qFormat/>
    <w:pPr>
      <w:spacing w:line="31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31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41">
    <w:name w:val="Heading #4"/>
    <w:basedOn w:val="Normal"/>
    <w:link w:val="Heading40"/>
    <w:pPr>
      <w:spacing w:line="30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"/>
    <w:basedOn w:val="Normal"/>
    <w:link w:val="Heading30"/>
    <w:pPr>
      <w:spacing w:line="247" w:lineRule="auto"/>
      <w:ind w:left="1640"/>
      <w:outlineLvl w:val="2"/>
    </w:pPr>
    <w:rPr>
      <w:rFonts w:ascii="Calibri" w:eastAsia="Calibri" w:hAnsi="Calibri" w:cs="Calibri"/>
      <w:b/>
      <w:bCs/>
      <w:color w:val="6D8AC1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62" w:lineRule="auto"/>
      <w:ind w:firstLine="120"/>
    </w:pPr>
    <w:rPr>
      <w:rFonts w:ascii="Times New Roman" w:eastAsia="Times New Roman" w:hAnsi="Times New Roman" w:cs="Times New Roman"/>
      <w:color w:val="4B4D55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D1808F"/>
      <w:sz w:val="68"/>
      <w:szCs w:val="68"/>
    </w:rPr>
  </w:style>
  <w:style w:type="paragraph" w:customStyle="1" w:styleId="Bodytext50">
    <w:name w:val="Body text (5)"/>
    <w:basedOn w:val="Normal"/>
    <w:link w:val="Bodytext5"/>
    <w:pPr>
      <w:spacing w:line="266" w:lineRule="auto"/>
      <w:ind w:firstLine="35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ind w:hanging="360"/>
    </w:pPr>
    <w:rPr>
      <w:rFonts w:ascii="Arial" w:eastAsia="Arial" w:hAnsi="Arial" w:cs="Arial"/>
      <w:b/>
      <w:bCs/>
      <w:color w:val="D1808F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3NzBDqIFMY+kUzkmDBBJ+M6ugQ==">CgMxLjA4AHIhMTA3MXFMc0VhOGZ4TzVCV0pfWlRHSWh5NGRrMXBqclJU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2024-03-28T02:09:00Z</dcterms:created>
  <dcterms:modified xsi:type="dcterms:W3CDTF">2024-03-29T03:12:00Z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d6553aecda693ef08ced6f92f0ad30c7ac636be96fdb175fb65fc4e3528b8723</vt:lpwstr>
  </property>
</Properties>
</file>