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2BA5" w14:textId="41CFA0E8" w:rsidR="00887C46" w:rsidRPr="00C95920" w:rsidRDefault="006F1ABC" w:rsidP="00EF21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95920">
        <w:rPr>
          <w:rFonts w:ascii="Arial" w:hAnsi="Arial" w:cs="Arial"/>
          <w:b/>
          <w:color w:val="010000"/>
          <w:sz w:val="20"/>
        </w:rPr>
        <w:t xml:space="preserve">LSG: </w:t>
      </w:r>
      <w:r w:rsidR="00EF21E5">
        <w:rPr>
          <w:rFonts w:ascii="Arial" w:hAnsi="Arial" w:cs="Arial"/>
          <w:b/>
          <w:color w:val="010000"/>
          <w:sz w:val="20"/>
        </w:rPr>
        <w:t>Explanation on</w:t>
      </w:r>
      <w:r w:rsidR="00C95920" w:rsidRPr="00C95920">
        <w:rPr>
          <w:rFonts w:ascii="Arial" w:hAnsi="Arial" w:cs="Arial"/>
          <w:b/>
          <w:color w:val="010000"/>
          <w:sz w:val="20"/>
        </w:rPr>
        <w:t xml:space="preserve"> </w:t>
      </w:r>
      <w:r w:rsidRPr="00C95920">
        <w:rPr>
          <w:rFonts w:ascii="Arial" w:hAnsi="Arial" w:cs="Arial"/>
          <w:b/>
          <w:color w:val="010000"/>
          <w:sz w:val="20"/>
        </w:rPr>
        <w:t>Financial Statements 2023</w:t>
      </w:r>
    </w:p>
    <w:p w14:paraId="102722E6" w14:textId="3138E6CF" w:rsidR="00887C46" w:rsidRPr="00C95920" w:rsidRDefault="006F1ABC" w:rsidP="00EF21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920">
        <w:rPr>
          <w:rFonts w:ascii="Arial" w:hAnsi="Arial" w:cs="Arial"/>
          <w:color w:val="010000"/>
          <w:sz w:val="20"/>
        </w:rPr>
        <w:t>On March 26, 2024, Saigon Vi Na Real Estate Joint Stock Company announced Official Dispatch No. 210/LSG-TCKT explaining the profit after tax difference of over 5%</w:t>
      </w:r>
      <w:r w:rsidR="00C95920" w:rsidRPr="00C95920">
        <w:rPr>
          <w:rFonts w:ascii="Arial" w:hAnsi="Arial" w:cs="Arial"/>
          <w:color w:val="010000"/>
          <w:sz w:val="20"/>
        </w:rPr>
        <w:t xml:space="preserve"> before and after audit,</w:t>
      </w:r>
      <w:r w:rsidRPr="00C95920">
        <w:rPr>
          <w:rFonts w:ascii="Arial" w:hAnsi="Arial" w:cs="Arial"/>
          <w:color w:val="010000"/>
          <w:sz w:val="20"/>
        </w:rPr>
        <w:t xml:space="preserve"> and fluctuations </w:t>
      </w:r>
      <w:r w:rsidR="00C95920" w:rsidRPr="00C95920">
        <w:rPr>
          <w:rFonts w:ascii="Arial" w:hAnsi="Arial" w:cs="Arial"/>
          <w:color w:val="010000"/>
          <w:sz w:val="20"/>
        </w:rPr>
        <w:t xml:space="preserve">of </w:t>
      </w:r>
      <w:r w:rsidRPr="00C95920">
        <w:rPr>
          <w:rFonts w:ascii="Arial" w:hAnsi="Arial" w:cs="Arial"/>
          <w:color w:val="010000"/>
          <w:sz w:val="20"/>
        </w:rPr>
        <w:t>over 10% compared to the same period last year as follows:</w:t>
      </w:r>
    </w:p>
    <w:p w14:paraId="48728FBF" w14:textId="77777777" w:rsidR="00887C46" w:rsidRPr="00C95920" w:rsidRDefault="006F1ABC" w:rsidP="006F1A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C95920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56"/>
        <w:gridCol w:w="1812"/>
        <w:gridCol w:w="1895"/>
        <w:gridCol w:w="1876"/>
        <w:gridCol w:w="1178"/>
      </w:tblGrid>
      <w:tr w:rsidR="00887C46" w:rsidRPr="00C95920" w14:paraId="08D7DC31" w14:textId="77777777" w:rsidTr="006F1ABC">
        <w:tc>
          <w:tcPr>
            <w:tcW w:w="1251" w:type="pct"/>
            <w:shd w:val="clear" w:color="auto" w:fill="auto"/>
            <w:vAlign w:val="center"/>
          </w:tcPr>
          <w:p w14:paraId="6E016315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6430E85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1590E1C1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2316FFE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DA25D08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% Fluctuations rate</w:t>
            </w:r>
          </w:p>
        </w:tc>
      </w:tr>
      <w:tr w:rsidR="00887C46" w:rsidRPr="00C95920" w14:paraId="482BE82A" w14:textId="77777777" w:rsidTr="006F1ABC">
        <w:tc>
          <w:tcPr>
            <w:tcW w:w="1251" w:type="pct"/>
            <w:shd w:val="clear" w:color="auto" w:fill="auto"/>
            <w:vAlign w:val="center"/>
          </w:tcPr>
          <w:p w14:paraId="5C270703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Total revenue: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044D54E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115,134,265,077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BB7FBA9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137,743,131,239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C3E5291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(22,608,866,162)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DF26C27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(16.41%)</w:t>
            </w:r>
          </w:p>
        </w:tc>
      </w:tr>
      <w:tr w:rsidR="00887C46" w:rsidRPr="00C95920" w14:paraId="04C32E2E" w14:textId="77777777" w:rsidTr="006F1ABC">
        <w:tc>
          <w:tcPr>
            <w:tcW w:w="1251" w:type="pct"/>
            <w:shd w:val="clear" w:color="auto" w:fill="auto"/>
            <w:vAlign w:val="center"/>
          </w:tcPr>
          <w:p w14:paraId="57765E7C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Total expenses: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313A2F8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107,505,997,165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36001D3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134,152,805,279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532CDB3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(26,646,808,114)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90A21E6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(19.86%)</w:t>
            </w:r>
          </w:p>
        </w:tc>
      </w:tr>
      <w:tr w:rsidR="00887C46" w:rsidRPr="00C95920" w14:paraId="4E5DE4DC" w14:textId="77777777" w:rsidTr="006F1ABC">
        <w:tc>
          <w:tcPr>
            <w:tcW w:w="1251" w:type="pct"/>
            <w:shd w:val="clear" w:color="auto" w:fill="auto"/>
            <w:vAlign w:val="center"/>
          </w:tcPr>
          <w:p w14:paraId="4ECF41F9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022CE32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7,628,267,912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24CF462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3,590,325,960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D48317C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4,037,941,952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59F6121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112.47%</w:t>
            </w:r>
          </w:p>
        </w:tc>
      </w:tr>
      <w:tr w:rsidR="00887C46" w:rsidRPr="00C95920" w14:paraId="37DAD73E" w14:textId="77777777" w:rsidTr="006F1ABC">
        <w:tc>
          <w:tcPr>
            <w:tcW w:w="1251" w:type="pct"/>
            <w:shd w:val="clear" w:color="auto" w:fill="auto"/>
            <w:vAlign w:val="center"/>
          </w:tcPr>
          <w:p w14:paraId="0321BCC5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05373CF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5,980,776,797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C8EA66A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2,600,023,894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79315A9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3,380,752,903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0B2D67B" w14:textId="77777777" w:rsidR="00887C46" w:rsidRPr="00C95920" w:rsidRDefault="006F1ABC" w:rsidP="006F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95920">
              <w:rPr>
                <w:rFonts w:ascii="Arial" w:hAnsi="Arial" w:cs="Arial"/>
                <w:color w:val="010000"/>
                <w:sz w:val="20"/>
              </w:rPr>
              <w:t>130.03%</w:t>
            </w:r>
          </w:p>
        </w:tc>
      </w:tr>
    </w:tbl>
    <w:p w14:paraId="11089914" w14:textId="77777777" w:rsidR="00887C46" w:rsidRPr="00C95920" w:rsidRDefault="006F1ABC" w:rsidP="00EF21E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920">
        <w:rPr>
          <w:rFonts w:ascii="Arial" w:hAnsi="Arial" w:cs="Arial"/>
          <w:color w:val="010000"/>
          <w:sz w:val="20"/>
        </w:rPr>
        <w:t>Explanation of profit after tax difference before - after audit of over 5%:</w:t>
      </w:r>
    </w:p>
    <w:p w14:paraId="11E55C46" w14:textId="0024319B" w:rsidR="00887C46" w:rsidRPr="00C95920" w:rsidRDefault="00C95920" w:rsidP="00EF21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920">
        <w:rPr>
          <w:rFonts w:ascii="Arial" w:hAnsi="Arial" w:cs="Arial"/>
          <w:color w:val="010000"/>
          <w:sz w:val="20"/>
        </w:rPr>
        <w:t>P</w:t>
      </w:r>
      <w:r w:rsidR="006F1ABC" w:rsidRPr="00C95920">
        <w:rPr>
          <w:rFonts w:ascii="Arial" w:hAnsi="Arial" w:cs="Arial"/>
          <w:color w:val="010000"/>
          <w:sz w:val="20"/>
        </w:rPr>
        <w:t xml:space="preserve">rofit after tax </w:t>
      </w:r>
      <w:r w:rsidRPr="00C95920">
        <w:rPr>
          <w:rFonts w:ascii="Arial" w:hAnsi="Arial" w:cs="Arial"/>
          <w:color w:val="010000"/>
          <w:sz w:val="20"/>
        </w:rPr>
        <w:t xml:space="preserve">2023 before </w:t>
      </w:r>
      <w:r w:rsidR="006F1ABC" w:rsidRPr="00C95920">
        <w:rPr>
          <w:rFonts w:ascii="Arial" w:hAnsi="Arial" w:cs="Arial"/>
          <w:color w:val="010000"/>
          <w:sz w:val="20"/>
        </w:rPr>
        <w:t xml:space="preserve">audit is VND 8.48 billion and profit after tax </w:t>
      </w:r>
      <w:r w:rsidRPr="00C95920">
        <w:rPr>
          <w:rFonts w:ascii="Arial" w:hAnsi="Arial" w:cs="Arial"/>
          <w:color w:val="010000"/>
          <w:sz w:val="20"/>
        </w:rPr>
        <w:t xml:space="preserve">after </w:t>
      </w:r>
      <w:r w:rsidR="006F1ABC" w:rsidRPr="00C95920">
        <w:rPr>
          <w:rFonts w:ascii="Arial" w:hAnsi="Arial" w:cs="Arial"/>
          <w:color w:val="010000"/>
          <w:sz w:val="20"/>
        </w:rPr>
        <w:t>audit is VND 5.98 billion, a</w:t>
      </w:r>
      <w:r w:rsidRPr="00C95920">
        <w:rPr>
          <w:rFonts w:ascii="Arial" w:hAnsi="Arial" w:cs="Arial"/>
          <w:color w:val="010000"/>
          <w:sz w:val="20"/>
        </w:rPr>
        <w:t xml:space="preserve"> decrease </w:t>
      </w:r>
      <w:r w:rsidR="006F1ABC" w:rsidRPr="00C95920">
        <w:rPr>
          <w:rFonts w:ascii="Arial" w:hAnsi="Arial" w:cs="Arial"/>
          <w:color w:val="010000"/>
          <w:sz w:val="20"/>
        </w:rPr>
        <w:t>of VND 2.50 billion, equivalent to 41.81%.</w:t>
      </w:r>
    </w:p>
    <w:p w14:paraId="2711B243" w14:textId="6C9618F5" w:rsidR="00887C46" w:rsidRPr="00C95920" w:rsidRDefault="006F1ABC" w:rsidP="00EF21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920">
        <w:rPr>
          <w:rFonts w:ascii="Arial" w:hAnsi="Arial" w:cs="Arial"/>
          <w:color w:val="010000"/>
          <w:sz w:val="20"/>
        </w:rPr>
        <w:t xml:space="preserve">Reason: The auditor did not accept the allocation of </w:t>
      </w:r>
      <w:r w:rsidR="00C95920" w:rsidRPr="00C95920">
        <w:rPr>
          <w:rFonts w:ascii="Arial" w:hAnsi="Arial" w:cs="Arial"/>
          <w:color w:val="010000"/>
          <w:sz w:val="20"/>
        </w:rPr>
        <w:t>general and administrative expenses</w:t>
      </w:r>
      <w:r w:rsidRPr="00C95920">
        <w:rPr>
          <w:rFonts w:ascii="Arial" w:hAnsi="Arial" w:cs="Arial"/>
          <w:color w:val="010000"/>
          <w:sz w:val="20"/>
        </w:rPr>
        <w:t xml:space="preserve"> to project implementation costs, thereby increasing </w:t>
      </w:r>
      <w:r w:rsidR="00C95920" w:rsidRPr="00C95920">
        <w:rPr>
          <w:rFonts w:ascii="Arial" w:hAnsi="Arial" w:cs="Arial"/>
          <w:color w:val="010000"/>
          <w:sz w:val="20"/>
        </w:rPr>
        <w:t xml:space="preserve">general and administrative expenses </w:t>
      </w:r>
      <w:r w:rsidRPr="00C95920">
        <w:rPr>
          <w:rFonts w:ascii="Arial" w:hAnsi="Arial" w:cs="Arial"/>
          <w:color w:val="010000"/>
          <w:sz w:val="20"/>
        </w:rPr>
        <w:t>in the period by VND 3.12 billion.</w:t>
      </w:r>
    </w:p>
    <w:p w14:paraId="6CF07D18" w14:textId="1D78A752" w:rsidR="00887C46" w:rsidRPr="00C95920" w:rsidRDefault="006F1ABC" w:rsidP="00EF21E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920">
        <w:rPr>
          <w:rFonts w:ascii="Arial" w:hAnsi="Arial" w:cs="Arial"/>
          <w:color w:val="010000"/>
          <w:sz w:val="20"/>
        </w:rPr>
        <w:t>Explanation for profit after tax chang</w:t>
      </w:r>
      <w:r w:rsidR="00C95920" w:rsidRPr="00C95920">
        <w:rPr>
          <w:rFonts w:ascii="Arial" w:hAnsi="Arial" w:cs="Arial"/>
          <w:color w:val="010000"/>
          <w:sz w:val="20"/>
        </w:rPr>
        <w:t>ing by</w:t>
      </w:r>
      <w:r w:rsidRPr="00C95920">
        <w:rPr>
          <w:rFonts w:ascii="Arial" w:hAnsi="Arial" w:cs="Arial"/>
          <w:color w:val="010000"/>
          <w:sz w:val="20"/>
        </w:rPr>
        <w:t xml:space="preserve"> 10% or more compared to the same period last year:</w:t>
      </w:r>
    </w:p>
    <w:p w14:paraId="60FBE9DE" w14:textId="5F7B3983" w:rsidR="00887C46" w:rsidRPr="00C95920" w:rsidRDefault="006F1ABC" w:rsidP="00EF21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5920">
        <w:rPr>
          <w:rFonts w:ascii="Arial" w:hAnsi="Arial" w:cs="Arial"/>
          <w:color w:val="010000"/>
          <w:sz w:val="20"/>
        </w:rPr>
        <w:t>Profit after tax in 2023 reached VND 5.98 billion, an increase of VND 3.38 billion compared to 2022 (</w:t>
      </w:r>
      <w:r w:rsidR="00C95920" w:rsidRPr="00C95920">
        <w:rPr>
          <w:rFonts w:ascii="Arial" w:hAnsi="Arial" w:cs="Arial"/>
          <w:color w:val="010000"/>
          <w:sz w:val="20"/>
        </w:rPr>
        <w:t xml:space="preserve">VND </w:t>
      </w:r>
      <w:r w:rsidRPr="00C95920">
        <w:rPr>
          <w:rFonts w:ascii="Arial" w:hAnsi="Arial" w:cs="Arial"/>
          <w:color w:val="010000"/>
          <w:sz w:val="20"/>
        </w:rPr>
        <w:t xml:space="preserve">2.60 billion). Main reasons: During the period, financial investment revenue decreased by VND 23.65 billion, financial costs by VND 25.89 billion, and </w:t>
      </w:r>
      <w:r w:rsidR="00C95920" w:rsidRPr="00C95920">
        <w:rPr>
          <w:rFonts w:ascii="Arial" w:hAnsi="Arial" w:cs="Arial"/>
          <w:color w:val="010000"/>
          <w:sz w:val="20"/>
        </w:rPr>
        <w:t>general and administrative expense</w:t>
      </w:r>
      <w:r w:rsidRPr="00C95920">
        <w:rPr>
          <w:rFonts w:ascii="Arial" w:hAnsi="Arial" w:cs="Arial"/>
          <w:color w:val="010000"/>
          <w:sz w:val="20"/>
        </w:rPr>
        <w:t xml:space="preserve">s </w:t>
      </w:r>
      <w:bookmarkStart w:id="0" w:name="_GoBack"/>
      <w:bookmarkEnd w:id="0"/>
      <w:r w:rsidRPr="00C95920">
        <w:rPr>
          <w:rFonts w:ascii="Arial" w:hAnsi="Arial" w:cs="Arial"/>
          <w:color w:val="010000"/>
          <w:sz w:val="20"/>
        </w:rPr>
        <w:t>by VND 0.67 billion.</w:t>
      </w:r>
    </w:p>
    <w:sectPr w:rsidR="00887C46" w:rsidRPr="00C95920" w:rsidSect="006F1AB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3CD6"/>
    <w:multiLevelType w:val="multilevel"/>
    <w:tmpl w:val="55E6E5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46"/>
    <w:rsid w:val="006F1ABC"/>
    <w:rsid w:val="00887C46"/>
    <w:rsid w:val="00C95920"/>
    <w:rsid w:val="00E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9E7E6"/>
  <w15:docId w15:val="{27F362A9-660B-42A5-A4D6-AC673DDA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57" w:lineRule="auto"/>
      <w:ind w:left="1720" w:firstLine="1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Khc0">
    <w:name w:val="Khác"/>
    <w:basedOn w:val="Normal"/>
    <w:link w:val="Khc"/>
    <w:pPr>
      <w:spacing w:line="31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SXuADOI3w+aglaJ1EB5btgAX2w==">CgMxLjA4AHIhMUI0N2pxNDBGeDN1MGRPVXI5YmNna01kcC15amR1bFlO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2024-03-29T03:23:00Z</dcterms:created>
  <dcterms:modified xsi:type="dcterms:W3CDTF">2024-03-29T03:23:00Z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a1327164aff291535cb4539f651c7027c46bfe3e664bee5538550d960540b2db</vt:lpwstr>
  </property>
</Properties>
</file>